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90BC" w14:textId="77777777" w:rsidR="009A5D6A" w:rsidRPr="00061CE3" w:rsidRDefault="009A5D6A" w:rsidP="009A5D6A">
      <w:pPr>
        <w:ind w:left="1985"/>
      </w:pPr>
    </w:p>
    <w:p w14:paraId="07DD460F" w14:textId="77777777" w:rsidR="009A5D6A" w:rsidRPr="00061CE3" w:rsidRDefault="009A5D6A" w:rsidP="009A5D6A">
      <w:pPr>
        <w:ind w:left="1985"/>
      </w:pPr>
    </w:p>
    <w:p w14:paraId="31278D97" w14:textId="77777777" w:rsidR="00532C17" w:rsidRPr="00061CE3" w:rsidRDefault="005A1BF4" w:rsidP="006677CD">
      <w:pPr>
        <w:pStyle w:val="Title"/>
        <w:spacing w:line="240" w:lineRule="auto"/>
        <w:ind w:left="1985"/>
        <w:rPr>
          <w:sz w:val="44"/>
          <w:szCs w:val="36"/>
          <w:lang w:val="fr-CA"/>
        </w:rPr>
      </w:pPr>
      <w:r w:rsidRPr="00061CE3">
        <w:rPr>
          <w:noProof/>
          <w:sz w:val="44"/>
          <w:szCs w:val="36"/>
          <w:lang w:val="fr-CA"/>
        </w:rPr>
        <w:drawing>
          <wp:anchor distT="114300" distB="114300" distL="114300" distR="114300" simplePos="0" relativeHeight="251660288" behindDoc="1" locked="0" layoutInCell="1" hidden="0" allowOverlap="1" wp14:anchorId="322E3D87" wp14:editId="3AC1B2FC">
            <wp:simplePos x="0" y="0"/>
            <wp:positionH relativeFrom="margin">
              <wp:posOffset>-50800</wp:posOffset>
            </wp:positionH>
            <wp:positionV relativeFrom="page">
              <wp:posOffset>685800</wp:posOffset>
            </wp:positionV>
            <wp:extent cx="7315200" cy="1417320"/>
            <wp:effectExtent l="0" t="0" r="0" b="0"/>
            <wp:wrapNone/>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7315200" cy="1417320"/>
                    </a:xfrm>
                    <a:prstGeom prst="rect">
                      <a:avLst/>
                    </a:prstGeom>
                    <a:ln/>
                  </pic:spPr>
                </pic:pic>
              </a:graphicData>
            </a:graphic>
          </wp:anchor>
        </w:drawing>
      </w:r>
      <w:r w:rsidRPr="00061CE3">
        <w:rPr>
          <w:sz w:val="44"/>
          <w:szCs w:val="36"/>
          <w:lang w:val="fr-CA"/>
        </w:rPr>
        <w:t xml:space="preserve">Rapport annuel du Réseau canadien d’accessibilité (RCA) </w:t>
      </w:r>
    </w:p>
    <w:p w14:paraId="67866E36" w14:textId="6401B91E" w:rsidR="00C917BA" w:rsidRPr="00061CE3" w:rsidRDefault="005A1BF4" w:rsidP="006677CD">
      <w:pPr>
        <w:pStyle w:val="Title"/>
        <w:spacing w:line="240" w:lineRule="auto"/>
        <w:ind w:left="1985"/>
      </w:pPr>
      <w:r w:rsidRPr="00061CE3">
        <w:rPr>
          <w:sz w:val="44"/>
          <w:szCs w:val="36"/>
          <w:lang w:val="fr-CA"/>
        </w:rPr>
        <w:t>2023-2024</w:t>
      </w:r>
    </w:p>
    <w:p w14:paraId="51569A2A" w14:textId="77777777" w:rsidR="001E7ED0" w:rsidRPr="00061CE3" w:rsidRDefault="001E7ED0">
      <w:pPr>
        <w:rPr>
          <w:b/>
          <w:bCs/>
          <w:color w:val="C00000"/>
          <w:sz w:val="32"/>
          <w:szCs w:val="32"/>
        </w:rPr>
      </w:pPr>
      <w:bookmarkStart w:id="0" w:name="_Toc265670634"/>
      <w:r w:rsidRPr="00061CE3">
        <w:rPr>
          <w:b/>
          <w:bCs/>
          <w:color w:val="C00000"/>
          <w:sz w:val="32"/>
          <w:szCs w:val="32"/>
          <w:lang w:val="fr-CA"/>
        </w:rPr>
        <w:br w:type="page"/>
      </w:r>
    </w:p>
    <w:sdt>
      <w:sdtPr>
        <w:rPr>
          <w:b/>
          <w:bCs/>
          <w:color w:val="C00000"/>
          <w:sz w:val="32"/>
          <w:szCs w:val="32"/>
        </w:rPr>
        <w:id w:val="-1455931644"/>
        <w:docPartObj>
          <w:docPartGallery w:val="Table of Contents"/>
          <w:docPartUnique/>
        </w:docPartObj>
      </w:sdtPr>
      <w:sdtEndPr>
        <w:rPr>
          <w:b w:val="0"/>
          <w:noProof/>
          <w:color w:val="auto"/>
          <w:sz w:val="18"/>
          <w:szCs w:val="18"/>
        </w:rPr>
      </w:sdtEndPr>
      <w:sdtContent>
        <w:p w14:paraId="305089DB" w14:textId="44176A52" w:rsidR="001455DF" w:rsidRPr="00061CE3" w:rsidRDefault="001455DF" w:rsidP="001B7416">
          <w:pPr>
            <w:rPr>
              <w:b/>
              <w:bCs/>
              <w:sz w:val="32"/>
              <w:szCs w:val="32"/>
            </w:rPr>
          </w:pPr>
          <w:r w:rsidRPr="00061CE3">
            <w:rPr>
              <w:b/>
              <w:bCs/>
              <w:color w:val="C00000"/>
              <w:sz w:val="32"/>
              <w:szCs w:val="32"/>
              <w:lang w:val="fr-CA"/>
            </w:rPr>
            <w:t>Table des matières</w:t>
          </w:r>
        </w:p>
        <w:p w14:paraId="57039926" w14:textId="0EF19099" w:rsidR="00AC4503" w:rsidRDefault="00C043F9">
          <w:pPr>
            <w:pStyle w:val="TOC1"/>
            <w:rPr>
              <w:rFonts w:asciiTheme="minorHAnsi" w:hAnsiTheme="minorHAnsi" w:cstheme="minorBidi"/>
              <w:b w:val="0"/>
              <w:bCs w:val="0"/>
              <w:kern w:val="2"/>
              <w:szCs w:val="24"/>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74366161" w:history="1">
            <w:r w:rsidR="00AC4503" w:rsidRPr="003D0A9D">
              <w:rPr>
                <w:rStyle w:val="Hyperlink"/>
                <w:lang w:val="fr-CA"/>
              </w:rPr>
              <w:t>Reconnaissance territoriale</w:t>
            </w:r>
            <w:r w:rsidR="00AC4503">
              <w:rPr>
                <w:webHidden/>
              </w:rPr>
              <w:tab/>
            </w:r>
            <w:r w:rsidR="00AC4503">
              <w:rPr>
                <w:webHidden/>
              </w:rPr>
              <w:fldChar w:fldCharType="begin"/>
            </w:r>
            <w:r w:rsidR="00AC4503">
              <w:rPr>
                <w:webHidden/>
              </w:rPr>
              <w:instrText xml:space="preserve"> PAGEREF _Toc174366161 \h </w:instrText>
            </w:r>
            <w:r w:rsidR="00AC4503">
              <w:rPr>
                <w:webHidden/>
              </w:rPr>
            </w:r>
            <w:r w:rsidR="00AC4503">
              <w:rPr>
                <w:webHidden/>
              </w:rPr>
              <w:fldChar w:fldCharType="separate"/>
            </w:r>
            <w:r w:rsidR="00B777B2">
              <w:rPr>
                <w:webHidden/>
              </w:rPr>
              <w:t>3</w:t>
            </w:r>
            <w:r w:rsidR="00AC4503">
              <w:rPr>
                <w:webHidden/>
              </w:rPr>
              <w:fldChar w:fldCharType="end"/>
            </w:r>
          </w:hyperlink>
        </w:p>
        <w:p w14:paraId="40172AC2" w14:textId="76DF3922" w:rsidR="00AC4503" w:rsidRDefault="00000000">
          <w:pPr>
            <w:pStyle w:val="TOC1"/>
            <w:rPr>
              <w:rFonts w:asciiTheme="minorHAnsi" w:hAnsiTheme="minorHAnsi" w:cstheme="minorBidi"/>
              <w:b w:val="0"/>
              <w:bCs w:val="0"/>
              <w:kern w:val="2"/>
              <w:szCs w:val="24"/>
              <w14:ligatures w14:val="standardContextual"/>
            </w:rPr>
          </w:pPr>
          <w:hyperlink w:anchor="_Toc174366162" w:history="1">
            <w:r w:rsidR="00AC4503" w:rsidRPr="003D0A9D">
              <w:rPr>
                <w:rStyle w:val="Hyperlink"/>
                <w:lang w:val="fr-CA"/>
              </w:rPr>
              <w:t>1.0 Message de la présidente du conseil de direction du RCA</w:t>
            </w:r>
            <w:r w:rsidR="00AC4503">
              <w:rPr>
                <w:webHidden/>
              </w:rPr>
              <w:tab/>
            </w:r>
            <w:r w:rsidR="00AC4503">
              <w:rPr>
                <w:webHidden/>
              </w:rPr>
              <w:fldChar w:fldCharType="begin"/>
            </w:r>
            <w:r w:rsidR="00AC4503">
              <w:rPr>
                <w:webHidden/>
              </w:rPr>
              <w:instrText xml:space="preserve"> PAGEREF _Toc174366162 \h </w:instrText>
            </w:r>
            <w:r w:rsidR="00AC4503">
              <w:rPr>
                <w:webHidden/>
              </w:rPr>
            </w:r>
            <w:r w:rsidR="00AC4503">
              <w:rPr>
                <w:webHidden/>
              </w:rPr>
              <w:fldChar w:fldCharType="separate"/>
            </w:r>
            <w:r w:rsidR="00B777B2">
              <w:rPr>
                <w:webHidden/>
              </w:rPr>
              <w:t>4</w:t>
            </w:r>
            <w:r w:rsidR="00AC4503">
              <w:rPr>
                <w:webHidden/>
              </w:rPr>
              <w:fldChar w:fldCharType="end"/>
            </w:r>
          </w:hyperlink>
        </w:p>
        <w:p w14:paraId="53D03A27" w14:textId="489DBDEB" w:rsidR="00AC4503" w:rsidRDefault="00000000">
          <w:pPr>
            <w:pStyle w:val="TOC1"/>
            <w:rPr>
              <w:rFonts w:asciiTheme="minorHAnsi" w:hAnsiTheme="minorHAnsi" w:cstheme="minorBidi"/>
              <w:b w:val="0"/>
              <w:bCs w:val="0"/>
              <w:kern w:val="2"/>
              <w:szCs w:val="24"/>
              <w14:ligatures w14:val="standardContextual"/>
            </w:rPr>
          </w:pPr>
          <w:hyperlink w:anchor="_Toc174366163" w:history="1">
            <w:r w:rsidR="00AC4503" w:rsidRPr="003D0A9D">
              <w:rPr>
                <w:rStyle w:val="Hyperlink"/>
                <w:lang w:val="fr-CA"/>
              </w:rPr>
              <w:t>2.0 Message du président du conseil consultatif du RCA</w:t>
            </w:r>
            <w:r w:rsidR="00AC4503">
              <w:rPr>
                <w:webHidden/>
              </w:rPr>
              <w:tab/>
            </w:r>
            <w:r w:rsidR="00AC4503">
              <w:rPr>
                <w:webHidden/>
              </w:rPr>
              <w:fldChar w:fldCharType="begin"/>
            </w:r>
            <w:r w:rsidR="00AC4503">
              <w:rPr>
                <w:webHidden/>
              </w:rPr>
              <w:instrText xml:space="preserve"> PAGEREF _Toc174366163 \h </w:instrText>
            </w:r>
            <w:r w:rsidR="00AC4503">
              <w:rPr>
                <w:webHidden/>
              </w:rPr>
            </w:r>
            <w:r w:rsidR="00AC4503">
              <w:rPr>
                <w:webHidden/>
              </w:rPr>
              <w:fldChar w:fldCharType="separate"/>
            </w:r>
            <w:r w:rsidR="00B777B2">
              <w:rPr>
                <w:webHidden/>
              </w:rPr>
              <w:t>5</w:t>
            </w:r>
            <w:r w:rsidR="00AC4503">
              <w:rPr>
                <w:webHidden/>
              </w:rPr>
              <w:fldChar w:fldCharType="end"/>
            </w:r>
          </w:hyperlink>
        </w:p>
        <w:p w14:paraId="7653D6A9" w14:textId="18F500FB" w:rsidR="00AC4503" w:rsidRDefault="00000000">
          <w:pPr>
            <w:pStyle w:val="TOC1"/>
            <w:rPr>
              <w:rFonts w:asciiTheme="minorHAnsi" w:hAnsiTheme="minorHAnsi" w:cstheme="minorBidi"/>
              <w:b w:val="0"/>
              <w:bCs w:val="0"/>
              <w:kern w:val="2"/>
              <w:szCs w:val="24"/>
              <w14:ligatures w14:val="standardContextual"/>
            </w:rPr>
          </w:pPr>
          <w:hyperlink w:anchor="_Toc174366164" w:history="1">
            <w:r w:rsidR="00AC4503" w:rsidRPr="003D0A9D">
              <w:rPr>
                <w:rStyle w:val="Hyperlink"/>
                <w:lang w:val="fr-CA"/>
              </w:rPr>
              <w:t>3.0 À propos du RCA</w:t>
            </w:r>
            <w:r w:rsidR="00AC4503">
              <w:rPr>
                <w:webHidden/>
              </w:rPr>
              <w:tab/>
            </w:r>
            <w:r w:rsidR="00AC4503">
              <w:rPr>
                <w:webHidden/>
              </w:rPr>
              <w:fldChar w:fldCharType="begin"/>
            </w:r>
            <w:r w:rsidR="00AC4503">
              <w:rPr>
                <w:webHidden/>
              </w:rPr>
              <w:instrText xml:space="preserve"> PAGEREF _Toc174366164 \h </w:instrText>
            </w:r>
            <w:r w:rsidR="00AC4503">
              <w:rPr>
                <w:webHidden/>
              </w:rPr>
            </w:r>
            <w:r w:rsidR="00AC4503">
              <w:rPr>
                <w:webHidden/>
              </w:rPr>
              <w:fldChar w:fldCharType="separate"/>
            </w:r>
            <w:r w:rsidR="00B777B2">
              <w:rPr>
                <w:webHidden/>
              </w:rPr>
              <w:t>6</w:t>
            </w:r>
            <w:r w:rsidR="00AC4503">
              <w:rPr>
                <w:webHidden/>
              </w:rPr>
              <w:fldChar w:fldCharType="end"/>
            </w:r>
          </w:hyperlink>
        </w:p>
        <w:p w14:paraId="095F1233" w14:textId="71C645BB"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65" w:history="1">
            <w:r w:rsidR="00AC4503" w:rsidRPr="003D0A9D">
              <w:rPr>
                <w:rStyle w:val="Hyperlink"/>
                <w:bCs/>
                <w:noProof/>
                <w:lang w:val="fr-CA"/>
              </w:rPr>
              <w:t>3.1 Vision du RCA</w:t>
            </w:r>
            <w:r w:rsidR="00AC4503">
              <w:rPr>
                <w:noProof/>
                <w:webHidden/>
              </w:rPr>
              <w:tab/>
            </w:r>
            <w:r w:rsidR="00AC4503">
              <w:rPr>
                <w:noProof/>
                <w:webHidden/>
              </w:rPr>
              <w:fldChar w:fldCharType="begin"/>
            </w:r>
            <w:r w:rsidR="00AC4503">
              <w:rPr>
                <w:noProof/>
                <w:webHidden/>
              </w:rPr>
              <w:instrText xml:space="preserve"> PAGEREF _Toc174366165 \h </w:instrText>
            </w:r>
            <w:r w:rsidR="00AC4503">
              <w:rPr>
                <w:noProof/>
                <w:webHidden/>
              </w:rPr>
            </w:r>
            <w:r w:rsidR="00AC4503">
              <w:rPr>
                <w:noProof/>
                <w:webHidden/>
              </w:rPr>
              <w:fldChar w:fldCharType="separate"/>
            </w:r>
            <w:r w:rsidR="00B777B2">
              <w:rPr>
                <w:noProof/>
                <w:webHidden/>
              </w:rPr>
              <w:t>6</w:t>
            </w:r>
            <w:r w:rsidR="00AC4503">
              <w:rPr>
                <w:noProof/>
                <w:webHidden/>
              </w:rPr>
              <w:fldChar w:fldCharType="end"/>
            </w:r>
          </w:hyperlink>
        </w:p>
        <w:p w14:paraId="1F49EB4C" w14:textId="3E978130"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66" w:history="1">
            <w:r w:rsidR="00AC4503" w:rsidRPr="003D0A9D">
              <w:rPr>
                <w:rStyle w:val="Hyperlink"/>
                <w:bCs/>
                <w:noProof/>
                <w:lang w:val="fr-CA"/>
              </w:rPr>
              <w:t>3.2 Mission du RCA</w:t>
            </w:r>
            <w:r w:rsidR="00AC4503">
              <w:rPr>
                <w:noProof/>
                <w:webHidden/>
              </w:rPr>
              <w:tab/>
            </w:r>
            <w:r w:rsidR="00AC4503">
              <w:rPr>
                <w:noProof/>
                <w:webHidden/>
              </w:rPr>
              <w:fldChar w:fldCharType="begin"/>
            </w:r>
            <w:r w:rsidR="00AC4503">
              <w:rPr>
                <w:noProof/>
                <w:webHidden/>
              </w:rPr>
              <w:instrText xml:space="preserve"> PAGEREF _Toc174366166 \h </w:instrText>
            </w:r>
            <w:r w:rsidR="00AC4503">
              <w:rPr>
                <w:noProof/>
                <w:webHidden/>
              </w:rPr>
            </w:r>
            <w:r w:rsidR="00AC4503">
              <w:rPr>
                <w:noProof/>
                <w:webHidden/>
              </w:rPr>
              <w:fldChar w:fldCharType="separate"/>
            </w:r>
            <w:r w:rsidR="00B777B2">
              <w:rPr>
                <w:noProof/>
                <w:webHidden/>
              </w:rPr>
              <w:t>6</w:t>
            </w:r>
            <w:r w:rsidR="00AC4503">
              <w:rPr>
                <w:noProof/>
                <w:webHidden/>
              </w:rPr>
              <w:fldChar w:fldCharType="end"/>
            </w:r>
          </w:hyperlink>
        </w:p>
        <w:p w14:paraId="71D481FF" w14:textId="2A71CF1C"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67" w:history="1">
            <w:r w:rsidR="00AC4503" w:rsidRPr="003D0A9D">
              <w:rPr>
                <w:rStyle w:val="Hyperlink"/>
                <w:bCs/>
                <w:noProof/>
                <w:lang w:val="fr-CA"/>
              </w:rPr>
              <w:t>3.3 Proposition de valeur intersectorielle</w:t>
            </w:r>
            <w:r w:rsidR="00AC4503">
              <w:rPr>
                <w:noProof/>
                <w:webHidden/>
              </w:rPr>
              <w:tab/>
            </w:r>
            <w:r w:rsidR="00AC4503">
              <w:rPr>
                <w:noProof/>
                <w:webHidden/>
              </w:rPr>
              <w:fldChar w:fldCharType="begin"/>
            </w:r>
            <w:r w:rsidR="00AC4503">
              <w:rPr>
                <w:noProof/>
                <w:webHidden/>
              </w:rPr>
              <w:instrText xml:space="preserve"> PAGEREF _Toc174366167 \h </w:instrText>
            </w:r>
            <w:r w:rsidR="00AC4503">
              <w:rPr>
                <w:noProof/>
                <w:webHidden/>
              </w:rPr>
            </w:r>
            <w:r w:rsidR="00AC4503">
              <w:rPr>
                <w:noProof/>
                <w:webHidden/>
              </w:rPr>
              <w:fldChar w:fldCharType="separate"/>
            </w:r>
            <w:r w:rsidR="00B777B2">
              <w:rPr>
                <w:noProof/>
                <w:webHidden/>
              </w:rPr>
              <w:t>7</w:t>
            </w:r>
            <w:r w:rsidR="00AC4503">
              <w:rPr>
                <w:noProof/>
                <w:webHidden/>
              </w:rPr>
              <w:fldChar w:fldCharType="end"/>
            </w:r>
          </w:hyperlink>
        </w:p>
        <w:p w14:paraId="008C071B" w14:textId="4294037E"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68" w:history="1">
            <w:r w:rsidR="00AC4503" w:rsidRPr="003D0A9D">
              <w:rPr>
                <w:rStyle w:val="Hyperlink"/>
                <w:bCs/>
                <w:noProof/>
                <w:lang w:val="fr-CA"/>
              </w:rPr>
              <w:t>3.4 Principes directeurs</w:t>
            </w:r>
            <w:r w:rsidR="00AC4503">
              <w:rPr>
                <w:noProof/>
                <w:webHidden/>
              </w:rPr>
              <w:tab/>
            </w:r>
            <w:r w:rsidR="00AC4503">
              <w:rPr>
                <w:noProof/>
                <w:webHidden/>
              </w:rPr>
              <w:fldChar w:fldCharType="begin"/>
            </w:r>
            <w:r w:rsidR="00AC4503">
              <w:rPr>
                <w:noProof/>
                <w:webHidden/>
              </w:rPr>
              <w:instrText xml:space="preserve"> PAGEREF _Toc174366168 \h </w:instrText>
            </w:r>
            <w:r w:rsidR="00AC4503">
              <w:rPr>
                <w:noProof/>
                <w:webHidden/>
              </w:rPr>
            </w:r>
            <w:r w:rsidR="00AC4503">
              <w:rPr>
                <w:noProof/>
                <w:webHidden/>
              </w:rPr>
              <w:fldChar w:fldCharType="separate"/>
            </w:r>
            <w:r w:rsidR="00B777B2">
              <w:rPr>
                <w:noProof/>
                <w:webHidden/>
              </w:rPr>
              <w:t>7</w:t>
            </w:r>
            <w:r w:rsidR="00AC4503">
              <w:rPr>
                <w:noProof/>
                <w:webHidden/>
              </w:rPr>
              <w:fldChar w:fldCharType="end"/>
            </w:r>
          </w:hyperlink>
        </w:p>
        <w:p w14:paraId="16F946D7" w14:textId="776A0538" w:rsidR="00AC4503" w:rsidRDefault="00000000">
          <w:pPr>
            <w:pStyle w:val="TOC1"/>
            <w:rPr>
              <w:rFonts w:asciiTheme="minorHAnsi" w:hAnsiTheme="minorHAnsi" w:cstheme="minorBidi"/>
              <w:b w:val="0"/>
              <w:bCs w:val="0"/>
              <w:kern w:val="2"/>
              <w:szCs w:val="24"/>
              <w14:ligatures w14:val="standardContextual"/>
            </w:rPr>
          </w:pPr>
          <w:hyperlink w:anchor="_Toc174366169" w:history="1">
            <w:r w:rsidR="00AC4503" w:rsidRPr="003D0A9D">
              <w:rPr>
                <w:rStyle w:val="Hyperlink"/>
                <w:lang w:val="fr-CA"/>
              </w:rPr>
              <w:t>4.0 Gouvernance du RCA</w:t>
            </w:r>
            <w:r w:rsidR="00AC4503">
              <w:rPr>
                <w:webHidden/>
              </w:rPr>
              <w:tab/>
            </w:r>
            <w:r w:rsidR="00AC4503">
              <w:rPr>
                <w:webHidden/>
              </w:rPr>
              <w:fldChar w:fldCharType="begin"/>
            </w:r>
            <w:r w:rsidR="00AC4503">
              <w:rPr>
                <w:webHidden/>
              </w:rPr>
              <w:instrText xml:space="preserve"> PAGEREF _Toc174366169 \h </w:instrText>
            </w:r>
            <w:r w:rsidR="00AC4503">
              <w:rPr>
                <w:webHidden/>
              </w:rPr>
            </w:r>
            <w:r w:rsidR="00AC4503">
              <w:rPr>
                <w:webHidden/>
              </w:rPr>
              <w:fldChar w:fldCharType="separate"/>
            </w:r>
            <w:r w:rsidR="00B777B2">
              <w:rPr>
                <w:webHidden/>
              </w:rPr>
              <w:t>9</w:t>
            </w:r>
            <w:r w:rsidR="00AC4503">
              <w:rPr>
                <w:webHidden/>
              </w:rPr>
              <w:fldChar w:fldCharType="end"/>
            </w:r>
          </w:hyperlink>
        </w:p>
        <w:p w14:paraId="741F6A24" w14:textId="5EC86EF8"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0" w:history="1">
            <w:r w:rsidR="00AC4503" w:rsidRPr="003D0A9D">
              <w:rPr>
                <w:rStyle w:val="Hyperlink"/>
                <w:bCs/>
                <w:noProof/>
                <w:lang w:val="fr-CA"/>
              </w:rPr>
              <w:t>4.1 Conseil de direction</w:t>
            </w:r>
            <w:r w:rsidR="00AC4503">
              <w:rPr>
                <w:noProof/>
                <w:webHidden/>
              </w:rPr>
              <w:tab/>
            </w:r>
            <w:r w:rsidR="00AC4503">
              <w:rPr>
                <w:noProof/>
                <w:webHidden/>
              </w:rPr>
              <w:fldChar w:fldCharType="begin"/>
            </w:r>
            <w:r w:rsidR="00AC4503">
              <w:rPr>
                <w:noProof/>
                <w:webHidden/>
              </w:rPr>
              <w:instrText xml:space="preserve"> PAGEREF _Toc174366170 \h </w:instrText>
            </w:r>
            <w:r w:rsidR="00AC4503">
              <w:rPr>
                <w:noProof/>
                <w:webHidden/>
              </w:rPr>
            </w:r>
            <w:r w:rsidR="00AC4503">
              <w:rPr>
                <w:noProof/>
                <w:webHidden/>
              </w:rPr>
              <w:fldChar w:fldCharType="separate"/>
            </w:r>
            <w:r w:rsidR="00B777B2">
              <w:rPr>
                <w:noProof/>
                <w:webHidden/>
              </w:rPr>
              <w:t>9</w:t>
            </w:r>
            <w:r w:rsidR="00AC4503">
              <w:rPr>
                <w:noProof/>
                <w:webHidden/>
              </w:rPr>
              <w:fldChar w:fldCharType="end"/>
            </w:r>
          </w:hyperlink>
        </w:p>
        <w:p w14:paraId="7437C9B8" w14:textId="64783CE9"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1" w:history="1">
            <w:r w:rsidR="00AC4503" w:rsidRPr="003D0A9D">
              <w:rPr>
                <w:rStyle w:val="Hyperlink"/>
                <w:bCs/>
                <w:noProof/>
                <w:lang w:val="fr-CA"/>
              </w:rPr>
              <w:t>4.2 Conseil consultatif</w:t>
            </w:r>
            <w:r w:rsidR="00AC4503">
              <w:rPr>
                <w:noProof/>
                <w:webHidden/>
              </w:rPr>
              <w:tab/>
            </w:r>
            <w:r w:rsidR="00AC4503">
              <w:rPr>
                <w:noProof/>
                <w:webHidden/>
              </w:rPr>
              <w:fldChar w:fldCharType="begin"/>
            </w:r>
            <w:r w:rsidR="00AC4503">
              <w:rPr>
                <w:noProof/>
                <w:webHidden/>
              </w:rPr>
              <w:instrText xml:space="preserve"> PAGEREF _Toc174366171 \h </w:instrText>
            </w:r>
            <w:r w:rsidR="00AC4503">
              <w:rPr>
                <w:noProof/>
                <w:webHidden/>
              </w:rPr>
            </w:r>
            <w:r w:rsidR="00AC4503">
              <w:rPr>
                <w:noProof/>
                <w:webHidden/>
              </w:rPr>
              <w:fldChar w:fldCharType="separate"/>
            </w:r>
            <w:r w:rsidR="00B777B2">
              <w:rPr>
                <w:noProof/>
                <w:webHidden/>
              </w:rPr>
              <w:t>9</w:t>
            </w:r>
            <w:r w:rsidR="00AC4503">
              <w:rPr>
                <w:noProof/>
                <w:webHidden/>
              </w:rPr>
              <w:fldChar w:fldCharType="end"/>
            </w:r>
          </w:hyperlink>
        </w:p>
        <w:p w14:paraId="1B4289F6" w14:textId="7F24C11E" w:rsidR="00AC4503" w:rsidRDefault="00000000">
          <w:pPr>
            <w:pStyle w:val="TOC1"/>
            <w:rPr>
              <w:rFonts w:asciiTheme="minorHAnsi" w:hAnsiTheme="minorHAnsi" w:cstheme="minorBidi"/>
              <w:b w:val="0"/>
              <w:bCs w:val="0"/>
              <w:kern w:val="2"/>
              <w:szCs w:val="24"/>
              <w14:ligatures w14:val="standardContextual"/>
            </w:rPr>
          </w:pPr>
          <w:hyperlink w:anchor="_Toc174366172" w:history="1">
            <w:r w:rsidR="00AC4503" w:rsidRPr="003D0A9D">
              <w:rPr>
                <w:rStyle w:val="Hyperlink"/>
                <w:lang w:val="fr-CA"/>
              </w:rPr>
              <w:t>5.0 Communautés de pratique</w:t>
            </w:r>
            <w:r w:rsidR="00AC4503">
              <w:rPr>
                <w:webHidden/>
              </w:rPr>
              <w:tab/>
            </w:r>
            <w:r w:rsidR="00AC4503">
              <w:rPr>
                <w:webHidden/>
              </w:rPr>
              <w:fldChar w:fldCharType="begin"/>
            </w:r>
            <w:r w:rsidR="00AC4503">
              <w:rPr>
                <w:webHidden/>
              </w:rPr>
              <w:instrText xml:space="preserve"> PAGEREF _Toc174366172 \h </w:instrText>
            </w:r>
            <w:r w:rsidR="00AC4503">
              <w:rPr>
                <w:webHidden/>
              </w:rPr>
            </w:r>
            <w:r w:rsidR="00AC4503">
              <w:rPr>
                <w:webHidden/>
              </w:rPr>
              <w:fldChar w:fldCharType="separate"/>
            </w:r>
            <w:r w:rsidR="00B777B2">
              <w:rPr>
                <w:webHidden/>
              </w:rPr>
              <w:t>10</w:t>
            </w:r>
            <w:r w:rsidR="00AC4503">
              <w:rPr>
                <w:webHidden/>
              </w:rPr>
              <w:fldChar w:fldCharType="end"/>
            </w:r>
          </w:hyperlink>
        </w:p>
        <w:p w14:paraId="62B36E6B" w14:textId="7EE91FD3"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3" w:history="1">
            <w:r w:rsidR="00AC4503" w:rsidRPr="003D0A9D">
              <w:rPr>
                <w:rStyle w:val="Hyperlink"/>
                <w:bCs/>
                <w:noProof/>
                <w:lang w:val="fr-CA"/>
              </w:rPr>
              <w:t>5.1 Communauté de pratique sur l’éducation et la formation</w:t>
            </w:r>
            <w:r w:rsidR="00AC4503">
              <w:rPr>
                <w:noProof/>
                <w:webHidden/>
              </w:rPr>
              <w:tab/>
            </w:r>
            <w:r w:rsidR="00AC4503">
              <w:rPr>
                <w:noProof/>
                <w:webHidden/>
              </w:rPr>
              <w:fldChar w:fldCharType="begin"/>
            </w:r>
            <w:r w:rsidR="00AC4503">
              <w:rPr>
                <w:noProof/>
                <w:webHidden/>
              </w:rPr>
              <w:instrText xml:space="preserve"> PAGEREF _Toc174366173 \h </w:instrText>
            </w:r>
            <w:r w:rsidR="00AC4503">
              <w:rPr>
                <w:noProof/>
                <w:webHidden/>
              </w:rPr>
            </w:r>
            <w:r w:rsidR="00AC4503">
              <w:rPr>
                <w:noProof/>
                <w:webHidden/>
              </w:rPr>
              <w:fldChar w:fldCharType="separate"/>
            </w:r>
            <w:r w:rsidR="00B777B2">
              <w:rPr>
                <w:noProof/>
                <w:webHidden/>
              </w:rPr>
              <w:t>10</w:t>
            </w:r>
            <w:r w:rsidR="00AC4503">
              <w:rPr>
                <w:noProof/>
                <w:webHidden/>
              </w:rPr>
              <w:fldChar w:fldCharType="end"/>
            </w:r>
          </w:hyperlink>
        </w:p>
        <w:p w14:paraId="189FE6B9" w14:textId="7DEE2744"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4" w:history="1">
            <w:r w:rsidR="00AC4503" w:rsidRPr="003D0A9D">
              <w:rPr>
                <w:rStyle w:val="Hyperlink"/>
                <w:bCs/>
                <w:noProof/>
                <w:lang w:val="fr-CA"/>
              </w:rPr>
              <w:t>5.2 Communauté de pratique sur les politiques</w:t>
            </w:r>
            <w:r w:rsidR="00AC4503">
              <w:rPr>
                <w:noProof/>
                <w:webHidden/>
              </w:rPr>
              <w:tab/>
            </w:r>
            <w:r w:rsidR="00AC4503">
              <w:rPr>
                <w:noProof/>
                <w:webHidden/>
              </w:rPr>
              <w:fldChar w:fldCharType="begin"/>
            </w:r>
            <w:r w:rsidR="00AC4503">
              <w:rPr>
                <w:noProof/>
                <w:webHidden/>
              </w:rPr>
              <w:instrText xml:space="preserve"> PAGEREF _Toc174366174 \h </w:instrText>
            </w:r>
            <w:r w:rsidR="00AC4503">
              <w:rPr>
                <w:noProof/>
                <w:webHidden/>
              </w:rPr>
            </w:r>
            <w:r w:rsidR="00AC4503">
              <w:rPr>
                <w:noProof/>
                <w:webHidden/>
              </w:rPr>
              <w:fldChar w:fldCharType="separate"/>
            </w:r>
            <w:r w:rsidR="00B777B2">
              <w:rPr>
                <w:noProof/>
                <w:webHidden/>
              </w:rPr>
              <w:t>10</w:t>
            </w:r>
            <w:r w:rsidR="00AC4503">
              <w:rPr>
                <w:noProof/>
                <w:webHidden/>
              </w:rPr>
              <w:fldChar w:fldCharType="end"/>
            </w:r>
          </w:hyperlink>
        </w:p>
        <w:p w14:paraId="4963179B" w14:textId="30FC342A"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5" w:history="1">
            <w:r w:rsidR="00AC4503" w:rsidRPr="003D0A9D">
              <w:rPr>
                <w:rStyle w:val="Hyperlink"/>
                <w:bCs/>
                <w:noProof/>
                <w:lang w:val="fr-CA"/>
              </w:rPr>
              <w:t>5.3 Communauté de pratique sur l’emploi</w:t>
            </w:r>
            <w:r w:rsidR="00AC4503">
              <w:rPr>
                <w:noProof/>
                <w:webHidden/>
              </w:rPr>
              <w:tab/>
            </w:r>
            <w:r w:rsidR="00AC4503">
              <w:rPr>
                <w:noProof/>
                <w:webHidden/>
              </w:rPr>
              <w:fldChar w:fldCharType="begin"/>
            </w:r>
            <w:r w:rsidR="00AC4503">
              <w:rPr>
                <w:noProof/>
                <w:webHidden/>
              </w:rPr>
              <w:instrText xml:space="preserve"> PAGEREF _Toc174366175 \h </w:instrText>
            </w:r>
            <w:r w:rsidR="00AC4503">
              <w:rPr>
                <w:noProof/>
                <w:webHidden/>
              </w:rPr>
            </w:r>
            <w:r w:rsidR="00AC4503">
              <w:rPr>
                <w:noProof/>
                <w:webHidden/>
              </w:rPr>
              <w:fldChar w:fldCharType="separate"/>
            </w:r>
            <w:r w:rsidR="00B777B2">
              <w:rPr>
                <w:noProof/>
                <w:webHidden/>
              </w:rPr>
              <w:t>11</w:t>
            </w:r>
            <w:r w:rsidR="00AC4503">
              <w:rPr>
                <w:noProof/>
                <w:webHidden/>
              </w:rPr>
              <w:fldChar w:fldCharType="end"/>
            </w:r>
          </w:hyperlink>
        </w:p>
        <w:p w14:paraId="798D6B53" w14:textId="38C7257A"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6" w:history="1">
            <w:r w:rsidR="00AC4503" w:rsidRPr="003D0A9D">
              <w:rPr>
                <w:rStyle w:val="Hyperlink"/>
                <w:bCs/>
                <w:noProof/>
                <w:lang w:val="fr-CA"/>
              </w:rPr>
              <w:t>5.4 Communauté de pratique sur la recherche, la conception et l’innovation</w:t>
            </w:r>
            <w:r w:rsidR="00AC4503">
              <w:rPr>
                <w:noProof/>
                <w:webHidden/>
              </w:rPr>
              <w:tab/>
            </w:r>
            <w:r w:rsidR="00AC4503">
              <w:rPr>
                <w:noProof/>
                <w:webHidden/>
              </w:rPr>
              <w:fldChar w:fldCharType="begin"/>
            </w:r>
            <w:r w:rsidR="00AC4503">
              <w:rPr>
                <w:noProof/>
                <w:webHidden/>
              </w:rPr>
              <w:instrText xml:space="preserve"> PAGEREF _Toc174366176 \h </w:instrText>
            </w:r>
            <w:r w:rsidR="00AC4503">
              <w:rPr>
                <w:noProof/>
                <w:webHidden/>
              </w:rPr>
            </w:r>
            <w:r w:rsidR="00AC4503">
              <w:rPr>
                <w:noProof/>
                <w:webHidden/>
              </w:rPr>
              <w:fldChar w:fldCharType="separate"/>
            </w:r>
            <w:r w:rsidR="00B777B2">
              <w:rPr>
                <w:noProof/>
                <w:webHidden/>
              </w:rPr>
              <w:t>11</w:t>
            </w:r>
            <w:r w:rsidR="00AC4503">
              <w:rPr>
                <w:noProof/>
                <w:webHidden/>
              </w:rPr>
              <w:fldChar w:fldCharType="end"/>
            </w:r>
          </w:hyperlink>
        </w:p>
        <w:p w14:paraId="415B3D13" w14:textId="47F65644" w:rsidR="00AC4503" w:rsidRDefault="00000000">
          <w:pPr>
            <w:pStyle w:val="TOC1"/>
            <w:rPr>
              <w:rFonts w:asciiTheme="minorHAnsi" w:hAnsiTheme="minorHAnsi" w:cstheme="minorBidi"/>
              <w:b w:val="0"/>
              <w:bCs w:val="0"/>
              <w:kern w:val="2"/>
              <w:szCs w:val="24"/>
              <w14:ligatures w14:val="standardContextual"/>
            </w:rPr>
          </w:pPr>
          <w:hyperlink w:anchor="_Toc174366177" w:history="1">
            <w:r w:rsidR="00AC4503" w:rsidRPr="003D0A9D">
              <w:rPr>
                <w:rStyle w:val="Hyperlink"/>
                <w:lang w:val="fr-CA"/>
              </w:rPr>
              <w:t>6.0 Renforcement de l’influence nationale du RCA</w:t>
            </w:r>
            <w:r w:rsidR="00AC4503">
              <w:rPr>
                <w:webHidden/>
              </w:rPr>
              <w:tab/>
            </w:r>
            <w:r w:rsidR="00AC4503">
              <w:rPr>
                <w:webHidden/>
              </w:rPr>
              <w:fldChar w:fldCharType="begin"/>
            </w:r>
            <w:r w:rsidR="00AC4503">
              <w:rPr>
                <w:webHidden/>
              </w:rPr>
              <w:instrText xml:space="preserve"> PAGEREF _Toc174366177 \h </w:instrText>
            </w:r>
            <w:r w:rsidR="00AC4503">
              <w:rPr>
                <w:webHidden/>
              </w:rPr>
            </w:r>
            <w:r w:rsidR="00AC4503">
              <w:rPr>
                <w:webHidden/>
              </w:rPr>
              <w:fldChar w:fldCharType="separate"/>
            </w:r>
            <w:r w:rsidR="00B777B2">
              <w:rPr>
                <w:webHidden/>
              </w:rPr>
              <w:t>12</w:t>
            </w:r>
            <w:r w:rsidR="00AC4503">
              <w:rPr>
                <w:webHidden/>
              </w:rPr>
              <w:fldChar w:fldCharType="end"/>
            </w:r>
          </w:hyperlink>
        </w:p>
        <w:p w14:paraId="6442C75C" w14:textId="68CC4CAC"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8" w:history="1">
            <w:r w:rsidR="00AC4503" w:rsidRPr="003D0A9D">
              <w:rPr>
                <w:rStyle w:val="Hyperlink"/>
                <w:bCs/>
                <w:noProof/>
                <w:lang w:val="fr-CA"/>
              </w:rPr>
              <w:t>6.1 Prise de contact officielle avec la ministre Kamal Khera</w:t>
            </w:r>
            <w:r w:rsidR="00AC4503">
              <w:rPr>
                <w:noProof/>
                <w:webHidden/>
              </w:rPr>
              <w:tab/>
            </w:r>
            <w:r w:rsidR="00AC4503">
              <w:rPr>
                <w:noProof/>
                <w:webHidden/>
              </w:rPr>
              <w:fldChar w:fldCharType="begin"/>
            </w:r>
            <w:r w:rsidR="00AC4503">
              <w:rPr>
                <w:noProof/>
                <w:webHidden/>
              </w:rPr>
              <w:instrText xml:space="preserve"> PAGEREF _Toc174366178 \h </w:instrText>
            </w:r>
            <w:r w:rsidR="00AC4503">
              <w:rPr>
                <w:noProof/>
                <w:webHidden/>
              </w:rPr>
            </w:r>
            <w:r w:rsidR="00AC4503">
              <w:rPr>
                <w:noProof/>
                <w:webHidden/>
              </w:rPr>
              <w:fldChar w:fldCharType="separate"/>
            </w:r>
            <w:r w:rsidR="00B777B2">
              <w:rPr>
                <w:noProof/>
                <w:webHidden/>
              </w:rPr>
              <w:t>12</w:t>
            </w:r>
            <w:r w:rsidR="00AC4503">
              <w:rPr>
                <w:noProof/>
                <w:webHidden/>
              </w:rPr>
              <w:fldChar w:fldCharType="end"/>
            </w:r>
          </w:hyperlink>
        </w:p>
        <w:p w14:paraId="70E6FCDF" w14:textId="055962D6"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79" w:history="1">
            <w:r w:rsidR="00AC4503" w:rsidRPr="003D0A9D">
              <w:rPr>
                <w:rStyle w:val="Hyperlink"/>
                <w:bCs/>
                <w:noProof/>
                <w:lang w:val="fr-CA"/>
              </w:rPr>
              <w:t>6.2 Contribution du Réseau canadien d’accessibilité au Sommet national sur l’accessibilité du transport aérien</w:t>
            </w:r>
            <w:r w:rsidR="00AC4503">
              <w:rPr>
                <w:noProof/>
                <w:webHidden/>
              </w:rPr>
              <w:tab/>
            </w:r>
            <w:r w:rsidR="00AC4503">
              <w:rPr>
                <w:noProof/>
                <w:webHidden/>
              </w:rPr>
              <w:fldChar w:fldCharType="begin"/>
            </w:r>
            <w:r w:rsidR="00AC4503">
              <w:rPr>
                <w:noProof/>
                <w:webHidden/>
              </w:rPr>
              <w:instrText xml:space="preserve"> PAGEREF _Toc174366179 \h </w:instrText>
            </w:r>
            <w:r w:rsidR="00AC4503">
              <w:rPr>
                <w:noProof/>
                <w:webHidden/>
              </w:rPr>
            </w:r>
            <w:r w:rsidR="00AC4503">
              <w:rPr>
                <w:noProof/>
                <w:webHidden/>
              </w:rPr>
              <w:fldChar w:fldCharType="separate"/>
            </w:r>
            <w:r w:rsidR="00B777B2">
              <w:rPr>
                <w:noProof/>
                <w:webHidden/>
              </w:rPr>
              <w:t>12</w:t>
            </w:r>
            <w:r w:rsidR="00AC4503">
              <w:rPr>
                <w:noProof/>
                <w:webHidden/>
              </w:rPr>
              <w:fldChar w:fldCharType="end"/>
            </w:r>
          </w:hyperlink>
        </w:p>
        <w:p w14:paraId="687FD8CA" w14:textId="6D4CEDF3" w:rsidR="00AC4503" w:rsidRDefault="00000000">
          <w:pPr>
            <w:pStyle w:val="TOC1"/>
            <w:rPr>
              <w:rFonts w:asciiTheme="minorHAnsi" w:hAnsiTheme="minorHAnsi" w:cstheme="minorBidi"/>
              <w:b w:val="0"/>
              <w:bCs w:val="0"/>
              <w:kern w:val="2"/>
              <w:szCs w:val="24"/>
              <w14:ligatures w14:val="standardContextual"/>
            </w:rPr>
          </w:pPr>
          <w:hyperlink w:anchor="_Toc174366180" w:history="1">
            <w:r w:rsidR="00AC4503" w:rsidRPr="003D0A9D">
              <w:rPr>
                <w:rStyle w:val="Hyperlink"/>
                <w:lang w:val="fr-CA"/>
              </w:rPr>
              <w:t>7.0 Partage des connaissances et des pratiques exemplaires</w:t>
            </w:r>
            <w:r w:rsidR="00AC4503">
              <w:rPr>
                <w:webHidden/>
              </w:rPr>
              <w:tab/>
            </w:r>
            <w:r w:rsidR="00AC4503">
              <w:rPr>
                <w:webHidden/>
              </w:rPr>
              <w:fldChar w:fldCharType="begin"/>
            </w:r>
            <w:r w:rsidR="00AC4503">
              <w:rPr>
                <w:webHidden/>
              </w:rPr>
              <w:instrText xml:space="preserve"> PAGEREF _Toc174366180 \h </w:instrText>
            </w:r>
            <w:r w:rsidR="00AC4503">
              <w:rPr>
                <w:webHidden/>
              </w:rPr>
            </w:r>
            <w:r w:rsidR="00AC4503">
              <w:rPr>
                <w:webHidden/>
              </w:rPr>
              <w:fldChar w:fldCharType="separate"/>
            </w:r>
            <w:r w:rsidR="00B777B2">
              <w:rPr>
                <w:webHidden/>
              </w:rPr>
              <w:t>15</w:t>
            </w:r>
            <w:r w:rsidR="00AC4503">
              <w:rPr>
                <w:webHidden/>
              </w:rPr>
              <w:fldChar w:fldCharType="end"/>
            </w:r>
          </w:hyperlink>
        </w:p>
        <w:p w14:paraId="0BACBF3D" w14:textId="4141F69A"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81" w:history="1">
            <w:r w:rsidR="00AC4503" w:rsidRPr="003D0A9D">
              <w:rPr>
                <w:rStyle w:val="Hyperlink"/>
                <w:bCs/>
                <w:noProof/>
                <w:lang w:val="fr-CA"/>
              </w:rPr>
              <w:t>7.1 Forums Se connecter du RCA</w:t>
            </w:r>
            <w:r w:rsidR="00AC4503">
              <w:rPr>
                <w:noProof/>
                <w:webHidden/>
              </w:rPr>
              <w:tab/>
            </w:r>
            <w:r w:rsidR="00AC4503">
              <w:rPr>
                <w:noProof/>
                <w:webHidden/>
              </w:rPr>
              <w:fldChar w:fldCharType="begin"/>
            </w:r>
            <w:r w:rsidR="00AC4503">
              <w:rPr>
                <w:noProof/>
                <w:webHidden/>
              </w:rPr>
              <w:instrText xml:space="preserve"> PAGEREF _Toc174366181 \h </w:instrText>
            </w:r>
            <w:r w:rsidR="00AC4503">
              <w:rPr>
                <w:noProof/>
                <w:webHidden/>
              </w:rPr>
            </w:r>
            <w:r w:rsidR="00AC4503">
              <w:rPr>
                <w:noProof/>
                <w:webHidden/>
              </w:rPr>
              <w:fldChar w:fldCharType="separate"/>
            </w:r>
            <w:r w:rsidR="00B777B2">
              <w:rPr>
                <w:noProof/>
                <w:webHidden/>
              </w:rPr>
              <w:t>15</w:t>
            </w:r>
            <w:r w:rsidR="00AC4503">
              <w:rPr>
                <w:noProof/>
                <w:webHidden/>
              </w:rPr>
              <w:fldChar w:fldCharType="end"/>
            </w:r>
          </w:hyperlink>
        </w:p>
        <w:p w14:paraId="7D313251" w14:textId="4380EA34" w:rsidR="00AC4503" w:rsidRDefault="00000000">
          <w:pPr>
            <w:pStyle w:val="TOC1"/>
            <w:rPr>
              <w:rFonts w:asciiTheme="minorHAnsi" w:hAnsiTheme="minorHAnsi" w:cstheme="minorBidi"/>
              <w:b w:val="0"/>
              <w:bCs w:val="0"/>
              <w:kern w:val="2"/>
              <w:szCs w:val="24"/>
              <w14:ligatures w14:val="standardContextual"/>
            </w:rPr>
          </w:pPr>
          <w:hyperlink w:anchor="_Toc174366182" w:history="1">
            <w:r w:rsidR="00AC4503" w:rsidRPr="003D0A9D">
              <w:rPr>
                <w:rStyle w:val="Hyperlink"/>
                <w:lang w:val="fr-CA"/>
              </w:rPr>
              <w:t>8.0 Établissement de liens et coordination des efforts</w:t>
            </w:r>
            <w:r w:rsidR="00AC4503">
              <w:rPr>
                <w:webHidden/>
              </w:rPr>
              <w:tab/>
            </w:r>
            <w:r w:rsidR="00AC4503">
              <w:rPr>
                <w:webHidden/>
              </w:rPr>
              <w:fldChar w:fldCharType="begin"/>
            </w:r>
            <w:r w:rsidR="00AC4503">
              <w:rPr>
                <w:webHidden/>
              </w:rPr>
              <w:instrText xml:space="preserve"> PAGEREF _Toc174366182 \h </w:instrText>
            </w:r>
            <w:r w:rsidR="00AC4503">
              <w:rPr>
                <w:webHidden/>
              </w:rPr>
            </w:r>
            <w:r w:rsidR="00AC4503">
              <w:rPr>
                <w:webHidden/>
              </w:rPr>
              <w:fldChar w:fldCharType="separate"/>
            </w:r>
            <w:r w:rsidR="00B777B2">
              <w:rPr>
                <w:webHidden/>
              </w:rPr>
              <w:t>16</w:t>
            </w:r>
            <w:r w:rsidR="00AC4503">
              <w:rPr>
                <w:webHidden/>
              </w:rPr>
              <w:fldChar w:fldCharType="end"/>
            </w:r>
          </w:hyperlink>
        </w:p>
        <w:p w14:paraId="63643F3D" w14:textId="450884F5"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83" w:history="1">
            <w:r w:rsidR="00AC4503" w:rsidRPr="003D0A9D">
              <w:rPr>
                <w:rStyle w:val="Hyperlink"/>
                <w:bCs/>
                <w:noProof/>
                <w:lang w:val="fr-CA"/>
              </w:rPr>
              <w:t>8.1 Bulletin du RCA</w:t>
            </w:r>
            <w:r w:rsidR="00AC4503">
              <w:rPr>
                <w:noProof/>
                <w:webHidden/>
              </w:rPr>
              <w:tab/>
            </w:r>
            <w:r w:rsidR="00AC4503">
              <w:rPr>
                <w:noProof/>
                <w:webHidden/>
              </w:rPr>
              <w:fldChar w:fldCharType="begin"/>
            </w:r>
            <w:r w:rsidR="00AC4503">
              <w:rPr>
                <w:noProof/>
                <w:webHidden/>
              </w:rPr>
              <w:instrText xml:space="preserve"> PAGEREF _Toc174366183 \h </w:instrText>
            </w:r>
            <w:r w:rsidR="00AC4503">
              <w:rPr>
                <w:noProof/>
                <w:webHidden/>
              </w:rPr>
            </w:r>
            <w:r w:rsidR="00AC4503">
              <w:rPr>
                <w:noProof/>
                <w:webHidden/>
              </w:rPr>
              <w:fldChar w:fldCharType="separate"/>
            </w:r>
            <w:r w:rsidR="00B777B2">
              <w:rPr>
                <w:noProof/>
                <w:webHidden/>
              </w:rPr>
              <w:t>16</w:t>
            </w:r>
            <w:r w:rsidR="00AC4503">
              <w:rPr>
                <w:noProof/>
                <w:webHidden/>
              </w:rPr>
              <w:fldChar w:fldCharType="end"/>
            </w:r>
          </w:hyperlink>
        </w:p>
        <w:p w14:paraId="17DB0412" w14:textId="534A2644" w:rsidR="00AC4503" w:rsidRDefault="00000000">
          <w:pPr>
            <w:pStyle w:val="TOC1"/>
            <w:rPr>
              <w:rFonts w:asciiTheme="minorHAnsi" w:hAnsiTheme="minorHAnsi" w:cstheme="minorBidi"/>
              <w:b w:val="0"/>
              <w:bCs w:val="0"/>
              <w:kern w:val="2"/>
              <w:szCs w:val="24"/>
              <w14:ligatures w14:val="standardContextual"/>
            </w:rPr>
          </w:pPr>
          <w:hyperlink w:anchor="_Toc174366184" w:history="1">
            <w:r w:rsidR="00AC4503" w:rsidRPr="003D0A9D">
              <w:rPr>
                <w:rStyle w:val="Hyperlink"/>
                <w:lang w:val="fr-CA"/>
              </w:rPr>
              <w:t>9.0 Le RCA en chiffres</w:t>
            </w:r>
            <w:r w:rsidR="00AC4503">
              <w:rPr>
                <w:webHidden/>
              </w:rPr>
              <w:tab/>
            </w:r>
            <w:r w:rsidR="00AC4503">
              <w:rPr>
                <w:webHidden/>
              </w:rPr>
              <w:fldChar w:fldCharType="begin"/>
            </w:r>
            <w:r w:rsidR="00AC4503">
              <w:rPr>
                <w:webHidden/>
              </w:rPr>
              <w:instrText xml:space="preserve"> PAGEREF _Toc174366184 \h </w:instrText>
            </w:r>
            <w:r w:rsidR="00AC4503">
              <w:rPr>
                <w:webHidden/>
              </w:rPr>
            </w:r>
            <w:r w:rsidR="00AC4503">
              <w:rPr>
                <w:webHidden/>
              </w:rPr>
              <w:fldChar w:fldCharType="separate"/>
            </w:r>
            <w:r w:rsidR="00B777B2">
              <w:rPr>
                <w:webHidden/>
              </w:rPr>
              <w:t>17</w:t>
            </w:r>
            <w:r w:rsidR="00AC4503">
              <w:rPr>
                <w:webHidden/>
              </w:rPr>
              <w:fldChar w:fldCharType="end"/>
            </w:r>
          </w:hyperlink>
        </w:p>
        <w:p w14:paraId="4837D226" w14:textId="5C44D287"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85" w:history="1">
            <w:r w:rsidR="00AC4503" w:rsidRPr="003D0A9D">
              <w:rPr>
                <w:rStyle w:val="Hyperlink"/>
                <w:bCs/>
                <w:noProof/>
                <w:lang w:val="fr-CA"/>
              </w:rPr>
              <w:t>9.1 Faits saillants de l’exercice 2023-2024</w:t>
            </w:r>
            <w:r w:rsidR="00AC4503">
              <w:rPr>
                <w:noProof/>
                <w:webHidden/>
              </w:rPr>
              <w:tab/>
            </w:r>
            <w:r w:rsidR="00AC4503">
              <w:rPr>
                <w:noProof/>
                <w:webHidden/>
              </w:rPr>
              <w:fldChar w:fldCharType="begin"/>
            </w:r>
            <w:r w:rsidR="00AC4503">
              <w:rPr>
                <w:noProof/>
                <w:webHidden/>
              </w:rPr>
              <w:instrText xml:space="preserve"> PAGEREF _Toc174366185 \h </w:instrText>
            </w:r>
            <w:r w:rsidR="00AC4503">
              <w:rPr>
                <w:noProof/>
                <w:webHidden/>
              </w:rPr>
            </w:r>
            <w:r w:rsidR="00AC4503">
              <w:rPr>
                <w:noProof/>
                <w:webHidden/>
              </w:rPr>
              <w:fldChar w:fldCharType="separate"/>
            </w:r>
            <w:r w:rsidR="00B777B2">
              <w:rPr>
                <w:noProof/>
                <w:webHidden/>
              </w:rPr>
              <w:t>17</w:t>
            </w:r>
            <w:r w:rsidR="00AC4503">
              <w:rPr>
                <w:noProof/>
                <w:webHidden/>
              </w:rPr>
              <w:fldChar w:fldCharType="end"/>
            </w:r>
          </w:hyperlink>
        </w:p>
        <w:p w14:paraId="2085CAB5" w14:textId="50154090"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86" w:history="1">
            <w:r w:rsidR="00AC4503" w:rsidRPr="003D0A9D">
              <w:rPr>
                <w:rStyle w:val="Hyperlink"/>
                <w:bCs/>
                <w:noProof/>
                <w:lang w:val="fr-CA"/>
              </w:rPr>
              <w:t>9.2 Lieu</w:t>
            </w:r>
            <w:r w:rsidR="00AC4503">
              <w:rPr>
                <w:noProof/>
                <w:webHidden/>
              </w:rPr>
              <w:tab/>
            </w:r>
            <w:r w:rsidR="00AC4503">
              <w:rPr>
                <w:noProof/>
                <w:webHidden/>
              </w:rPr>
              <w:fldChar w:fldCharType="begin"/>
            </w:r>
            <w:r w:rsidR="00AC4503">
              <w:rPr>
                <w:noProof/>
                <w:webHidden/>
              </w:rPr>
              <w:instrText xml:space="preserve"> PAGEREF _Toc174366186 \h </w:instrText>
            </w:r>
            <w:r w:rsidR="00AC4503">
              <w:rPr>
                <w:noProof/>
                <w:webHidden/>
              </w:rPr>
            </w:r>
            <w:r w:rsidR="00AC4503">
              <w:rPr>
                <w:noProof/>
                <w:webHidden/>
              </w:rPr>
              <w:fldChar w:fldCharType="separate"/>
            </w:r>
            <w:r w:rsidR="00B777B2">
              <w:rPr>
                <w:noProof/>
                <w:webHidden/>
              </w:rPr>
              <w:t>17</w:t>
            </w:r>
            <w:r w:rsidR="00AC4503">
              <w:rPr>
                <w:noProof/>
                <w:webHidden/>
              </w:rPr>
              <w:fldChar w:fldCharType="end"/>
            </w:r>
          </w:hyperlink>
        </w:p>
        <w:p w14:paraId="47BE3F7F" w14:textId="65FA0744"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87" w:history="1">
            <w:r w:rsidR="00AC4503" w:rsidRPr="003D0A9D">
              <w:rPr>
                <w:rStyle w:val="Hyperlink"/>
                <w:bCs/>
                <w:noProof/>
                <w:lang w:val="fr-CA"/>
              </w:rPr>
              <w:t>9.3 Représentation des collaborateur(rice)s : Les 5 principaux secteurs</w:t>
            </w:r>
            <w:r w:rsidR="00AC4503">
              <w:rPr>
                <w:noProof/>
                <w:webHidden/>
              </w:rPr>
              <w:tab/>
            </w:r>
            <w:r w:rsidR="00AC4503">
              <w:rPr>
                <w:noProof/>
                <w:webHidden/>
              </w:rPr>
              <w:fldChar w:fldCharType="begin"/>
            </w:r>
            <w:r w:rsidR="00AC4503">
              <w:rPr>
                <w:noProof/>
                <w:webHidden/>
              </w:rPr>
              <w:instrText xml:space="preserve"> PAGEREF _Toc174366187 \h </w:instrText>
            </w:r>
            <w:r w:rsidR="00AC4503">
              <w:rPr>
                <w:noProof/>
                <w:webHidden/>
              </w:rPr>
            </w:r>
            <w:r w:rsidR="00AC4503">
              <w:rPr>
                <w:noProof/>
                <w:webHidden/>
              </w:rPr>
              <w:fldChar w:fldCharType="separate"/>
            </w:r>
            <w:r w:rsidR="00B777B2">
              <w:rPr>
                <w:noProof/>
                <w:webHidden/>
              </w:rPr>
              <w:t>17</w:t>
            </w:r>
            <w:r w:rsidR="00AC4503">
              <w:rPr>
                <w:noProof/>
                <w:webHidden/>
              </w:rPr>
              <w:fldChar w:fldCharType="end"/>
            </w:r>
          </w:hyperlink>
        </w:p>
        <w:p w14:paraId="6896B863" w14:textId="42C9A0E3" w:rsidR="00AC4503" w:rsidRDefault="00000000">
          <w:pPr>
            <w:pStyle w:val="TOC1"/>
            <w:rPr>
              <w:rFonts w:asciiTheme="minorHAnsi" w:hAnsiTheme="minorHAnsi" w:cstheme="minorBidi"/>
              <w:b w:val="0"/>
              <w:bCs w:val="0"/>
              <w:kern w:val="2"/>
              <w:szCs w:val="24"/>
              <w14:ligatures w14:val="standardContextual"/>
            </w:rPr>
          </w:pPr>
          <w:hyperlink w:anchor="_Toc174366188" w:history="1">
            <w:r w:rsidR="00AC4503" w:rsidRPr="003D0A9D">
              <w:rPr>
                <w:rStyle w:val="Hyperlink"/>
                <w:lang w:val="fr-CA"/>
              </w:rPr>
              <w:t>10.0 Gouvernance du RCA</w:t>
            </w:r>
            <w:r w:rsidR="00AC4503">
              <w:rPr>
                <w:webHidden/>
              </w:rPr>
              <w:tab/>
            </w:r>
            <w:r w:rsidR="00AC4503">
              <w:rPr>
                <w:webHidden/>
              </w:rPr>
              <w:fldChar w:fldCharType="begin"/>
            </w:r>
            <w:r w:rsidR="00AC4503">
              <w:rPr>
                <w:webHidden/>
              </w:rPr>
              <w:instrText xml:space="preserve"> PAGEREF _Toc174366188 \h </w:instrText>
            </w:r>
            <w:r w:rsidR="00AC4503">
              <w:rPr>
                <w:webHidden/>
              </w:rPr>
            </w:r>
            <w:r w:rsidR="00AC4503">
              <w:rPr>
                <w:webHidden/>
              </w:rPr>
              <w:fldChar w:fldCharType="separate"/>
            </w:r>
            <w:r w:rsidR="00B777B2">
              <w:rPr>
                <w:webHidden/>
              </w:rPr>
              <w:t>18</w:t>
            </w:r>
            <w:r w:rsidR="00AC4503">
              <w:rPr>
                <w:webHidden/>
              </w:rPr>
              <w:fldChar w:fldCharType="end"/>
            </w:r>
          </w:hyperlink>
        </w:p>
        <w:p w14:paraId="792C9237" w14:textId="1C9B7B56"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89" w:history="1">
            <w:r w:rsidR="00AC4503" w:rsidRPr="003D0A9D">
              <w:rPr>
                <w:rStyle w:val="Hyperlink"/>
                <w:bCs/>
                <w:noProof/>
                <w:lang w:val="fr-CA"/>
              </w:rPr>
              <w:t>10.1 Bureau national du RCA</w:t>
            </w:r>
            <w:r w:rsidR="00AC4503">
              <w:rPr>
                <w:noProof/>
                <w:webHidden/>
              </w:rPr>
              <w:tab/>
            </w:r>
            <w:r w:rsidR="00AC4503">
              <w:rPr>
                <w:noProof/>
                <w:webHidden/>
              </w:rPr>
              <w:fldChar w:fldCharType="begin"/>
            </w:r>
            <w:r w:rsidR="00AC4503">
              <w:rPr>
                <w:noProof/>
                <w:webHidden/>
              </w:rPr>
              <w:instrText xml:space="preserve"> PAGEREF _Toc174366189 \h </w:instrText>
            </w:r>
            <w:r w:rsidR="00AC4503">
              <w:rPr>
                <w:noProof/>
                <w:webHidden/>
              </w:rPr>
            </w:r>
            <w:r w:rsidR="00AC4503">
              <w:rPr>
                <w:noProof/>
                <w:webHidden/>
              </w:rPr>
              <w:fldChar w:fldCharType="separate"/>
            </w:r>
            <w:r w:rsidR="00B777B2">
              <w:rPr>
                <w:noProof/>
                <w:webHidden/>
              </w:rPr>
              <w:t>18</w:t>
            </w:r>
            <w:r w:rsidR="00AC4503">
              <w:rPr>
                <w:noProof/>
                <w:webHidden/>
              </w:rPr>
              <w:fldChar w:fldCharType="end"/>
            </w:r>
          </w:hyperlink>
        </w:p>
        <w:p w14:paraId="3DF24988" w14:textId="4740D6FF" w:rsidR="00AC4503" w:rsidRDefault="00000000">
          <w:pPr>
            <w:pStyle w:val="TOC2"/>
            <w:tabs>
              <w:tab w:val="right" w:leader="dot" w:pos="9345"/>
            </w:tabs>
            <w:rPr>
              <w:rFonts w:asciiTheme="minorHAnsi" w:hAnsiTheme="minorHAnsi" w:cstheme="minorBidi"/>
              <w:noProof/>
              <w:kern w:val="2"/>
              <w:szCs w:val="24"/>
              <w14:ligatures w14:val="standardContextual"/>
            </w:rPr>
          </w:pPr>
          <w:hyperlink w:anchor="_Toc174366190" w:history="1">
            <w:r w:rsidR="00AC4503" w:rsidRPr="003D0A9D">
              <w:rPr>
                <w:rStyle w:val="Hyperlink"/>
                <w:bCs/>
                <w:noProof/>
                <w:lang w:val="fr-CA"/>
              </w:rPr>
              <w:t>10.2 Collaborateur(rice)s du RCA</w:t>
            </w:r>
            <w:r w:rsidR="00AC4503">
              <w:rPr>
                <w:noProof/>
                <w:webHidden/>
              </w:rPr>
              <w:tab/>
            </w:r>
            <w:r w:rsidR="00AC4503">
              <w:rPr>
                <w:noProof/>
                <w:webHidden/>
              </w:rPr>
              <w:fldChar w:fldCharType="begin"/>
            </w:r>
            <w:r w:rsidR="00AC4503">
              <w:rPr>
                <w:noProof/>
                <w:webHidden/>
              </w:rPr>
              <w:instrText xml:space="preserve"> PAGEREF _Toc174366190 \h </w:instrText>
            </w:r>
            <w:r w:rsidR="00AC4503">
              <w:rPr>
                <w:noProof/>
                <w:webHidden/>
              </w:rPr>
            </w:r>
            <w:r w:rsidR="00AC4503">
              <w:rPr>
                <w:noProof/>
                <w:webHidden/>
              </w:rPr>
              <w:fldChar w:fldCharType="separate"/>
            </w:r>
            <w:r w:rsidR="00B777B2">
              <w:rPr>
                <w:noProof/>
                <w:webHidden/>
              </w:rPr>
              <w:t>19</w:t>
            </w:r>
            <w:r w:rsidR="00AC4503">
              <w:rPr>
                <w:noProof/>
                <w:webHidden/>
              </w:rPr>
              <w:fldChar w:fldCharType="end"/>
            </w:r>
          </w:hyperlink>
        </w:p>
        <w:p w14:paraId="1CC5525B" w14:textId="12FBC27F" w:rsidR="001455DF" w:rsidRPr="00061CE3" w:rsidRDefault="00C043F9">
          <w:r>
            <w:rPr>
              <w:rFonts w:eastAsiaTheme="minorEastAsia" w:cs="Times New Roman"/>
              <w:b/>
              <w:bCs/>
              <w:noProof/>
              <w:lang w:val="en-US"/>
            </w:rPr>
            <w:fldChar w:fldCharType="end"/>
          </w:r>
        </w:p>
      </w:sdtContent>
    </w:sdt>
    <w:p w14:paraId="0AEAC7F2" w14:textId="6F2367E7" w:rsidR="007B7AFD" w:rsidRPr="00061CE3" w:rsidRDefault="007B7AFD" w:rsidP="002916B6">
      <w:pPr>
        <w:pStyle w:val="Heading1"/>
        <w:rPr>
          <w:lang w:val="fr-CA"/>
        </w:rPr>
      </w:pPr>
      <w:bookmarkStart w:id="1" w:name="_Toc166747254"/>
      <w:bookmarkStart w:id="2" w:name="_Toc174366161"/>
      <w:r w:rsidRPr="00061CE3">
        <w:rPr>
          <w:bCs/>
          <w:lang w:val="fr-CA"/>
        </w:rPr>
        <w:lastRenderedPageBreak/>
        <w:t>Reconnaissance territoriale</w:t>
      </w:r>
      <w:bookmarkEnd w:id="0"/>
      <w:bookmarkEnd w:id="1"/>
      <w:bookmarkEnd w:id="2"/>
    </w:p>
    <w:p w14:paraId="2DEA4243" w14:textId="0519D77E" w:rsidR="007F7EE9" w:rsidRPr="00061CE3" w:rsidRDefault="009B54FB" w:rsidP="002916B6">
      <w:pPr>
        <w:rPr>
          <w:lang w:val="fr-CA"/>
        </w:rPr>
      </w:pPr>
      <w:r w:rsidRPr="00061CE3">
        <w:rPr>
          <w:lang w:val="fr-CA"/>
        </w:rPr>
        <w:t xml:space="preserve">Nous reconnaissons et respectons le peuple algonquin </w:t>
      </w:r>
      <w:proofErr w:type="spellStart"/>
      <w:r w:rsidRPr="00061CE3">
        <w:rPr>
          <w:lang w:val="fr-CA"/>
        </w:rPr>
        <w:t>Anishinabeg</w:t>
      </w:r>
      <w:proofErr w:type="spellEnd"/>
      <w:r w:rsidRPr="00061CE3">
        <w:rPr>
          <w:lang w:val="fr-CA"/>
        </w:rPr>
        <w:t xml:space="preserve"> du territoire non cédé et non abandonné sur lequel sont situés le bureau national du RCA et le campus de l’Université Carleton.</w:t>
      </w:r>
    </w:p>
    <w:p w14:paraId="7E5B093A" w14:textId="0F0431C6" w:rsidR="00434438" w:rsidRPr="00061CE3" w:rsidRDefault="00434438" w:rsidP="007762E5">
      <w:pPr>
        <w:spacing w:before="240"/>
        <w:rPr>
          <w:lang w:val="fr-CA"/>
        </w:rPr>
      </w:pPr>
      <w:r w:rsidRPr="00061CE3">
        <w:rPr>
          <w:lang w:val="fr-CA"/>
        </w:rPr>
        <w:t>Cette reconnaissance est importante pour nous. Elle nous rappelle la signification de ce lieu et constitue un engagement en faveur de la réconciliation avec les peuples autochtones.</w:t>
      </w:r>
    </w:p>
    <w:p w14:paraId="4CC812A1" w14:textId="77777777" w:rsidR="00752E1B" w:rsidRPr="00061CE3" w:rsidRDefault="00752E1B">
      <w:pPr>
        <w:rPr>
          <w:rFonts w:eastAsia="Helvetica Neue"/>
          <w:b/>
          <w:color w:val="C00000"/>
          <w:sz w:val="32"/>
          <w:szCs w:val="32"/>
          <w:lang w:val="fr-CA"/>
        </w:rPr>
      </w:pPr>
      <w:bookmarkStart w:id="3" w:name="_Toc166747255"/>
      <w:r w:rsidRPr="00061CE3">
        <w:rPr>
          <w:lang w:val="fr-CA"/>
        </w:rPr>
        <w:br w:type="page"/>
      </w:r>
    </w:p>
    <w:p w14:paraId="5D308A72" w14:textId="6E79ABFE" w:rsidR="0097314F" w:rsidRPr="00061CE3" w:rsidRDefault="006C7F7F" w:rsidP="002916B6">
      <w:pPr>
        <w:pStyle w:val="Heading1"/>
        <w:rPr>
          <w:lang w:val="fr-CA"/>
        </w:rPr>
      </w:pPr>
      <w:bookmarkStart w:id="4" w:name="_Toc174366162"/>
      <w:r w:rsidRPr="00061CE3">
        <w:rPr>
          <w:bCs/>
          <w:lang w:val="fr-CA"/>
        </w:rPr>
        <w:lastRenderedPageBreak/>
        <w:t>1.0 Message de la présidente du conseil de direction du RCA</w:t>
      </w:r>
      <w:bookmarkEnd w:id="3"/>
      <w:bookmarkEnd w:id="4"/>
    </w:p>
    <w:p w14:paraId="210EF974" w14:textId="20E57F32" w:rsidR="002916B6" w:rsidRPr="00061CE3" w:rsidRDefault="0097314F" w:rsidP="007762E5">
      <w:pPr>
        <w:spacing w:after="240" w:line="240" w:lineRule="auto"/>
        <w:rPr>
          <w:lang w:val="fr-CA"/>
        </w:rPr>
      </w:pPr>
      <w:r w:rsidRPr="00061CE3">
        <w:rPr>
          <w:lang w:val="fr-CA"/>
        </w:rPr>
        <w:t>Chers/chères collaborateur(</w:t>
      </w:r>
      <w:proofErr w:type="spellStart"/>
      <w:r w:rsidRPr="00061CE3">
        <w:rPr>
          <w:lang w:val="fr-CA"/>
        </w:rPr>
        <w:t>rice</w:t>
      </w:r>
      <w:proofErr w:type="spellEnd"/>
      <w:r w:rsidRPr="00061CE3">
        <w:rPr>
          <w:lang w:val="fr-CA"/>
        </w:rPr>
        <w:t>)s, membres et allié(e)s du RCA,</w:t>
      </w:r>
    </w:p>
    <w:p w14:paraId="15CD767E" w14:textId="4E918A3C" w:rsidR="0097314F" w:rsidRPr="00061CE3" w:rsidRDefault="0097314F" w:rsidP="002916B6">
      <w:pPr>
        <w:spacing w:line="240" w:lineRule="auto"/>
        <w:rPr>
          <w:lang w:val="fr-CA"/>
        </w:rPr>
      </w:pPr>
      <w:r w:rsidRPr="00061CE3">
        <w:rPr>
          <w:lang w:val="fr-CA"/>
        </w:rPr>
        <w:t>Né d’une idée d’un groupe de champion(ne)s et de défenseur(</w:t>
      </w:r>
      <w:proofErr w:type="spellStart"/>
      <w:r w:rsidRPr="00061CE3">
        <w:rPr>
          <w:lang w:val="fr-CA"/>
        </w:rPr>
        <w:t>euse</w:t>
      </w:r>
      <w:proofErr w:type="spellEnd"/>
      <w:r w:rsidRPr="00061CE3">
        <w:rPr>
          <w:lang w:val="fr-CA"/>
        </w:rPr>
        <w:t>)s de l’accessibilité à l’Université Carleton en 2019, le Réseau canadien de l’accessibilité (RCA) est depuis devenu un impressionnant réseau national composé de plus de 107 organisations collaboratrices et de plus de 214 personnes. L’année dernière a marqué une étape importante dans notre croissance, avec l’adhésion d’environ 35 % de nos membres actuel(le)s entre mai 2023 et mai 2024.</w:t>
      </w:r>
    </w:p>
    <w:p w14:paraId="7D1A7B8F" w14:textId="4B6CA502" w:rsidR="0097314F" w:rsidRPr="00061CE3" w:rsidRDefault="0097314F" w:rsidP="007762E5">
      <w:pPr>
        <w:spacing w:before="240" w:line="240" w:lineRule="auto"/>
        <w:rPr>
          <w:lang w:val="fr-CA"/>
        </w:rPr>
      </w:pPr>
      <w:r w:rsidRPr="00061CE3">
        <w:rPr>
          <w:lang w:val="fr-CA"/>
        </w:rPr>
        <w:t>Notre réseau continue de bénéficier de la diversité de ses membres, à savoir des organisations à but non lucratif, des prestataires de services, des établissements d’enseignement, des organisations gouvernementales, des sociétés d’État ainsi que d’autres secteurs représentant au total huit provinces et un territoire. Au cœur de cette adhésion, nous comptons la participation inestimable d’expert(e)s en accessibilité, de parties prenantes passionnées, de défenseur(</w:t>
      </w:r>
      <w:proofErr w:type="spellStart"/>
      <w:r w:rsidRPr="00061CE3">
        <w:rPr>
          <w:lang w:val="fr-CA"/>
        </w:rPr>
        <w:t>euse</w:t>
      </w:r>
      <w:proofErr w:type="spellEnd"/>
      <w:r w:rsidRPr="00061CE3">
        <w:rPr>
          <w:lang w:val="fr-CA"/>
        </w:rPr>
        <w:t>)s des droits et de personnes ayant une expérience vécue du handicap.</w:t>
      </w:r>
    </w:p>
    <w:p w14:paraId="1C8849AE" w14:textId="77777777" w:rsidR="0097314F" w:rsidRPr="00061CE3" w:rsidRDefault="0097314F" w:rsidP="007762E5">
      <w:pPr>
        <w:spacing w:before="240" w:line="240" w:lineRule="auto"/>
        <w:rPr>
          <w:lang w:val="fr-CA"/>
        </w:rPr>
      </w:pPr>
      <w:r w:rsidRPr="00061CE3">
        <w:rPr>
          <w:lang w:val="fr-CA"/>
        </w:rPr>
        <w:t>Au cours de l’année écoulée, nous avons mis en application des changements afin d’encourager une plus grande participation au sein de nos communautés de pratique et d’offrir une structure plus souple et plus inclusive qui met l’accent sur la création de partenariats et la mobilisation des connaissances. Cette structure est cruciale, car elle nous permet de repérer et de saisir les occasions propices à l’action collective.</w:t>
      </w:r>
    </w:p>
    <w:p w14:paraId="35FA6B70" w14:textId="77777777" w:rsidR="0097314F" w:rsidRPr="00061CE3" w:rsidRDefault="0097314F" w:rsidP="007762E5">
      <w:pPr>
        <w:spacing w:before="240" w:line="240" w:lineRule="auto"/>
        <w:rPr>
          <w:lang w:val="fr-CA"/>
        </w:rPr>
      </w:pPr>
      <w:r w:rsidRPr="00061CE3">
        <w:rPr>
          <w:lang w:val="fr-CA"/>
        </w:rPr>
        <w:t>J’ai le plaisir d’annoncer que le RCA a mené à bien de nombreux projets cette année, qu’il a lancé huit nouveaux projets et qu’il a accompli des progrès substantiels dans la réalisation de ses objectifs stratégiques. Ces réalisations marquent des étapes importantes pour notre réseau et témoignent du dévouement et de l’enthousiasme de notre communauté. Il s’agit d’un moment charnière pour le RCA, qui continue à consolider sa présence au Canada en tant que communauté proactive, orientée vers l’action et déterminée à promouvoir l’accessibilité.</w:t>
      </w:r>
    </w:p>
    <w:p w14:paraId="70C7BE25" w14:textId="77777777" w:rsidR="0097314F" w:rsidRPr="00061CE3" w:rsidRDefault="0097314F" w:rsidP="007762E5">
      <w:pPr>
        <w:spacing w:before="240" w:line="240" w:lineRule="auto"/>
        <w:rPr>
          <w:lang w:val="fr-CA"/>
        </w:rPr>
      </w:pPr>
      <w:r w:rsidRPr="00061CE3">
        <w:rPr>
          <w:lang w:val="fr-CA"/>
        </w:rPr>
        <w:t>Je tiens à remercier chaleureusement l’ensemble des personnes qui participent au conseil de direction du RCA, au conseil consultatif, aux communautés de pratique et à nos différents groupes de travail. Votre expertise et vos expériences diversifiées sont d’une valeur inestimable pour notre progrès. J’apprécie également le soutien fourni par l’équipe du bureau national du RCA à l’Institut de l’accessibilité de l’Université Carleton.</w:t>
      </w:r>
    </w:p>
    <w:p w14:paraId="2FFC4906" w14:textId="31DE65B1" w:rsidR="007762E5" w:rsidRPr="00061CE3" w:rsidRDefault="0097314F" w:rsidP="007762E5">
      <w:pPr>
        <w:spacing w:before="240" w:after="600" w:line="240" w:lineRule="auto"/>
        <w:rPr>
          <w:lang w:val="fr-CA"/>
        </w:rPr>
      </w:pPr>
      <w:r w:rsidRPr="00061CE3">
        <w:rPr>
          <w:lang w:val="fr-CA"/>
        </w:rPr>
        <w:t>Alors que nous entamons une nouvelle année, je reste optimiste quant à notre capacité à tirer parti de la dynamique actuelle pour continuer à faire évoluer les choses et à promouvoir une société plus accessible et plus inclusive.</w:t>
      </w:r>
    </w:p>
    <w:p w14:paraId="2AFBD60C" w14:textId="77777777" w:rsidR="0097314F" w:rsidRPr="00061CE3" w:rsidRDefault="0097314F" w:rsidP="007762E5">
      <w:pPr>
        <w:spacing w:before="240" w:line="240" w:lineRule="auto"/>
        <w:rPr>
          <w:lang w:val="fr-CA"/>
        </w:rPr>
      </w:pPr>
      <w:r w:rsidRPr="00061CE3">
        <w:rPr>
          <w:lang w:val="fr-CA"/>
        </w:rPr>
        <w:t>Suzanne Blanchard</w:t>
      </w:r>
    </w:p>
    <w:p w14:paraId="1A4F47A7" w14:textId="313C3B88" w:rsidR="0097314F" w:rsidRPr="00061CE3" w:rsidRDefault="0097314F" w:rsidP="002916B6">
      <w:pPr>
        <w:spacing w:line="240" w:lineRule="auto"/>
        <w:rPr>
          <w:lang w:val="fr-CA"/>
        </w:rPr>
      </w:pPr>
      <w:r w:rsidRPr="00061CE3">
        <w:rPr>
          <w:lang w:val="fr-CA"/>
        </w:rPr>
        <w:t>Présidente, conseil de direction du RCA</w:t>
      </w:r>
    </w:p>
    <w:p w14:paraId="6E7C9B78" w14:textId="54CA06CB" w:rsidR="0097314F" w:rsidRPr="00061CE3" w:rsidRDefault="0097314F" w:rsidP="002916B6">
      <w:pPr>
        <w:spacing w:line="240" w:lineRule="auto"/>
        <w:rPr>
          <w:lang w:val="fr-CA"/>
        </w:rPr>
      </w:pPr>
      <w:r w:rsidRPr="00061CE3">
        <w:rPr>
          <w:lang w:val="fr-CA"/>
        </w:rPr>
        <w:t>Vice-rectrice (Étudiant(e)s et admission), Université Carleton</w:t>
      </w:r>
    </w:p>
    <w:p w14:paraId="32DFF6A0" w14:textId="05AA9E75" w:rsidR="00691FDF" w:rsidRPr="00061CE3" w:rsidRDefault="006C7F7F" w:rsidP="00691FDF">
      <w:pPr>
        <w:pStyle w:val="Heading1"/>
        <w:rPr>
          <w:lang w:val="fr-CA"/>
        </w:rPr>
      </w:pPr>
      <w:bookmarkStart w:id="5" w:name="_Toc174366163"/>
      <w:r w:rsidRPr="00061CE3">
        <w:rPr>
          <w:bCs/>
          <w:lang w:val="fr-CA"/>
        </w:rPr>
        <w:lastRenderedPageBreak/>
        <w:t>2.0 Message du président du conseil consultatif du RCA</w:t>
      </w:r>
      <w:bookmarkEnd w:id="5"/>
    </w:p>
    <w:p w14:paraId="6344169A" w14:textId="77777777" w:rsidR="006C7F7F" w:rsidRPr="00061CE3" w:rsidRDefault="006C7F7F" w:rsidP="006C7F7F">
      <w:pPr>
        <w:rPr>
          <w:lang w:val="fr-CA"/>
        </w:rPr>
      </w:pPr>
      <w:r w:rsidRPr="00061CE3">
        <w:rPr>
          <w:lang w:val="fr-CA"/>
        </w:rPr>
        <w:t>En tant que président du conseil consultatif, je me réjouis de faire partie du RCA, un réseau qui croit sincèrement que l’union fait la force et qui a la capacité de catalyser la collaboration au-delà de toute frontière. L’expertise, le désir de changement durable, la participation, la diversité des points de vue et l’authenticité qui se manifestent lors de nos réunions comblent mon cœur de gratitude.</w:t>
      </w:r>
    </w:p>
    <w:p w14:paraId="7099D052" w14:textId="47EF41DB" w:rsidR="006C7F7F" w:rsidRPr="00061CE3" w:rsidRDefault="006C7F7F" w:rsidP="007762E5">
      <w:pPr>
        <w:spacing w:before="240"/>
        <w:rPr>
          <w:lang w:val="fr-CA"/>
        </w:rPr>
      </w:pPr>
      <w:r w:rsidRPr="00061CE3">
        <w:rPr>
          <w:lang w:val="fr-CA"/>
        </w:rPr>
        <w:t>Le réseau s’est considérablement développé au cours de l’année écoulée, apportant de nouveaux points de vue. En avril 2024, le RCA réunissait 107 organisations collaboratrices et plus de 214 personnes issues des secteurs public, privé, à but non lucratif, gouvernemental et scolaire de tout le pays. Chaque collaborateur(</w:t>
      </w:r>
      <w:proofErr w:type="spellStart"/>
      <w:r w:rsidRPr="00061CE3">
        <w:rPr>
          <w:lang w:val="fr-CA"/>
        </w:rPr>
        <w:t>rice</w:t>
      </w:r>
      <w:proofErr w:type="spellEnd"/>
      <w:r w:rsidRPr="00061CE3">
        <w:rPr>
          <w:lang w:val="fr-CA"/>
        </w:rPr>
        <w:t xml:space="preserve">) apporte autour de la table virtuelle un ensemble de connaissances et d’expériences sur différents aspects de l’accessibilité. Le Réseau est pour nous une occasion d’apprendre </w:t>
      </w:r>
      <w:proofErr w:type="gramStart"/>
      <w:r w:rsidRPr="00061CE3">
        <w:rPr>
          <w:lang w:val="fr-CA"/>
        </w:rPr>
        <w:t>les un</w:t>
      </w:r>
      <w:proofErr w:type="gramEnd"/>
      <w:r w:rsidRPr="00061CE3">
        <w:rPr>
          <w:lang w:val="fr-CA"/>
        </w:rPr>
        <w:t>(e)s des autres, en trouvant nos points communs et en travaillant à la réalisation de priorités de manière concrète.</w:t>
      </w:r>
    </w:p>
    <w:p w14:paraId="57D261F5" w14:textId="77777777" w:rsidR="006C7F7F" w:rsidRPr="00061CE3" w:rsidRDefault="006C7F7F" w:rsidP="007762E5">
      <w:pPr>
        <w:spacing w:before="240"/>
        <w:rPr>
          <w:lang w:val="fr-CA"/>
        </w:rPr>
      </w:pPr>
      <w:r w:rsidRPr="00061CE3">
        <w:rPr>
          <w:lang w:val="fr-CA"/>
        </w:rPr>
        <w:t>Nous continuons à vous écouter et à solliciter votre rétroaction. Nous avons adapté nos structures et nos pratiques afin de mieux répondre aux besoins du réseau et de favoriser une plus grande implication de la part de nos membres.  À l’avenir, nous devons toutes et tous nous servir du succès que connaît le RCA pour faire connaître, à plus large échelle, sa vision, sa mission et ses objectifs, et aussi pour inviter d’autres personnes à participer et à joindre leurs forces à celles des collaborateur(</w:t>
      </w:r>
      <w:proofErr w:type="spellStart"/>
      <w:r w:rsidRPr="00061CE3">
        <w:rPr>
          <w:lang w:val="fr-CA"/>
        </w:rPr>
        <w:t>rice</w:t>
      </w:r>
      <w:proofErr w:type="spellEnd"/>
      <w:r w:rsidRPr="00061CE3">
        <w:rPr>
          <w:lang w:val="fr-CA"/>
        </w:rPr>
        <w:t>)s actuel(le)s du RCA, qui font déjà de grands progrès dans la création d’une société et d’une économie canadiennes plus accessibles et plus inclusives.</w:t>
      </w:r>
    </w:p>
    <w:p w14:paraId="7B655421" w14:textId="77777777" w:rsidR="006C7F7F" w:rsidRPr="00061CE3" w:rsidRDefault="006C7F7F" w:rsidP="007762E5">
      <w:pPr>
        <w:spacing w:before="240"/>
        <w:rPr>
          <w:lang w:val="fr-CA"/>
        </w:rPr>
      </w:pPr>
      <w:r w:rsidRPr="00061CE3">
        <w:rPr>
          <w:lang w:val="fr-CA"/>
        </w:rPr>
        <w:t xml:space="preserve">Au cours de l’année écoulée, j’ai été ravi de découvrir les multiples nouvelles façons dont les membres du RCA ont partagé leurs connaissances et tissé des liens. Les séances des forums Se connecter du RCA ont été une excellente occasion pour les membres du Réseau d’apprendre communément des expériences et de l’expertise de chacun(e) et de discuter d’un large éventail de questions liées à l’accessibilité. Ces événements, tels que </w:t>
      </w:r>
      <w:r w:rsidRPr="00061CE3">
        <w:rPr>
          <w:i/>
          <w:iCs/>
          <w:lang w:val="fr-CA"/>
        </w:rPr>
        <w:t>Transports accessibles</w:t>
      </w:r>
      <w:r w:rsidRPr="00061CE3">
        <w:rPr>
          <w:lang w:val="fr-CA"/>
        </w:rPr>
        <w:t xml:space="preserve"> </w:t>
      </w:r>
      <w:r w:rsidRPr="00061CE3">
        <w:rPr>
          <w:i/>
          <w:iCs/>
          <w:lang w:val="fr-CA"/>
        </w:rPr>
        <w:t>au Canada</w:t>
      </w:r>
      <w:r w:rsidRPr="00061CE3">
        <w:rPr>
          <w:lang w:val="fr-CA"/>
        </w:rPr>
        <w:t xml:space="preserve"> ou </w:t>
      </w:r>
      <w:r w:rsidRPr="00061CE3">
        <w:rPr>
          <w:i/>
          <w:iCs/>
          <w:lang w:val="fr-CA"/>
        </w:rPr>
        <w:t>Parcours vers la pleine confiance : L’accessibilité au service de la réussite collective</w:t>
      </w:r>
      <w:r w:rsidRPr="00061CE3">
        <w:rPr>
          <w:lang w:val="fr-CA"/>
        </w:rPr>
        <w:t>, ont rassemblé des centaines de participant(e)s et ont contribué à la promotion du Réseau à travers le Canada.</w:t>
      </w:r>
    </w:p>
    <w:p w14:paraId="78C75F95" w14:textId="77777777" w:rsidR="006C7F7F" w:rsidRPr="00061CE3" w:rsidRDefault="006C7F7F" w:rsidP="007762E5">
      <w:pPr>
        <w:spacing w:before="240"/>
        <w:rPr>
          <w:lang w:val="fr-CA"/>
        </w:rPr>
      </w:pPr>
      <w:r w:rsidRPr="00061CE3">
        <w:rPr>
          <w:lang w:val="fr-CA"/>
        </w:rPr>
        <w:t xml:space="preserve">Nous pouvons toutes et tous éprouver de la fierté à la vue de la croissance du Réseau et du travail que nous avons accompli ensemble cette année. Dans les années à venir, nous continuerons de réfléchir et d’agir pour entraîner des changements positifs et accélérer le rythme des changements dans les politiques, l’emploi, l’éducation, la </w:t>
      </w:r>
      <w:r w:rsidRPr="00061CE3">
        <w:rPr>
          <w:lang w:val="fr-CA"/>
        </w:rPr>
        <w:lastRenderedPageBreak/>
        <w:t>formation, la recherche, la conception et l’innovation afin d’assurer l’accessibilité universelle pour l’ensemble des Canadiens et Canadiennes.</w:t>
      </w:r>
    </w:p>
    <w:p w14:paraId="2A281EF9" w14:textId="77777777" w:rsidR="006C7F7F" w:rsidRPr="00061CE3" w:rsidRDefault="006C7F7F" w:rsidP="007762E5">
      <w:pPr>
        <w:spacing w:before="240"/>
        <w:rPr>
          <w:lang w:val="fr-CA"/>
        </w:rPr>
      </w:pPr>
    </w:p>
    <w:p w14:paraId="603907C1" w14:textId="77777777" w:rsidR="006C7F7F" w:rsidRPr="00061CE3" w:rsidRDefault="006C7F7F" w:rsidP="006C7F7F">
      <w:pPr>
        <w:rPr>
          <w:lang w:val="fr-CA"/>
        </w:rPr>
      </w:pPr>
      <w:r w:rsidRPr="00061CE3">
        <w:rPr>
          <w:lang w:val="fr-CA"/>
        </w:rPr>
        <w:t>Tony </w:t>
      </w:r>
      <w:proofErr w:type="spellStart"/>
      <w:r w:rsidRPr="00061CE3">
        <w:rPr>
          <w:lang w:val="fr-CA"/>
        </w:rPr>
        <w:t>Labillois</w:t>
      </w:r>
      <w:proofErr w:type="spellEnd"/>
    </w:p>
    <w:p w14:paraId="06EB5407" w14:textId="77777777" w:rsidR="006C7F7F" w:rsidRPr="00061CE3" w:rsidRDefault="006C7F7F" w:rsidP="006C7F7F">
      <w:pPr>
        <w:rPr>
          <w:lang w:val="fr-CA"/>
        </w:rPr>
      </w:pPr>
      <w:r w:rsidRPr="00061CE3">
        <w:rPr>
          <w:lang w:val="fr-CA"/>
        </w:rPr>
        <w:t>Président, conseil consultatif du RCA</w:t>
      </w:r>
    </w:p>
    <w:p w14:paraId="6523FD3E" w14:textId="0D034D03" w:rsidR="00D14B11" w:rsidRPr="00061CE3" w:rsidRDefault="006C7F7F" w:rsidP="006C7F7F">
      <w:pPr>
        <w:rPr>
          <w:lang w:val="fr-CA"/>
        </w:rPr>
      </w:pPr>
      <w:r w:rsidRPr="00061CE3">
        <w:rPr>
          <w:lang w:val="fr-CA"/>
        </w:rPr>
        <w:t>Directeur général, Statistiques sur la justice, la diversité et la population, Statistique Canada</w:t>
      </w:r>
    </w:p>
    <w:p w14:paraId="5CC19110" w14:textId="77777777" w:rsidR="007762E5" w:rsidRDefault="007762E5" w:rsidP="00BA1029">
      <w:pPr>
        <w:pStyle w:val="Heading1"/>
        <w:rPr>
          <w:bCs/>
          <w:lang w:val="fr-CA"/>
        </w:rPr>
      </w:pPr>
      <w:bookmarkStart w:id="6" w:name="_Toc166747257"/>
    </w:p>
    <w:p w14:paraId="07FFB0DC" w14:textId="1D5EE69B" w:rsidR="00BA1029" w:rsidRPr="00061CE3" w:rsidRDefault="006C7F7F" w:rsidP="00BA1029">
      <w:pPr>
        <w:pStyle w:val="Heading1"/>
        <w:rPr>
          <w:lang w:val="fr-CA"/>
        </w:rPr>
      </w:pPr>
      <w:bookmarkStart w:id="7" w:name="_Toc174366164"/>
      <w:r w:rsidRPr="00061CE3">
        <w:rPr>
          <w:bCs/>
          <w:lang w:val="fr-CA"/>
        </w:rPr>
        <w:t>3.0 À propos du RCA</w:t>
      </w:r>
      <w:bookmarkEnd w:id="6"/>
      <w:bookmarkEnd w:id="7"/>
    </w:p>
    <w:p w14:paraId="1370D531" w14:textId="6EC27816" w:rsidR="00BA1029" w:rsidRPr="00061CE3" w:rsidRDefault="003307FF" w:rsidP="00C55DFF">
      <w:pPr>
        <w:pStyle w:val="Heading2"/>
        <w:rPr>
          <w:lang w:val="fr-CA"/>
        </w:rPr>
      </w:pPr>
      <w:bookmarkStart w:id="8" w:name="_Toc166747258"/>
      <w:bookmarkStart w:id="9" w:name="_Toc174366165"/>
      <w:r w:rsidRPr="00061CE3">
        <w:rPr>
          <w:bCs/>
          <w:lang w:val="fr-CA"/>
        </w:rPr>
        <w:t>3.1 Vision du RCA</w:t>
      </w:r>
      <w:bookmarkEnd w:id="8"/>
      <w:bookmarkEnd w:id="9"/>
    </w:p>
    <w:p w14:paraId="26ECA8BC" w14:textId="394030D5" w:rsidR="00A92F40" w:rsidRPr="00061CE3" w:rsidRDefault="006D2BCA" w:rsidP="00A92F40">
      <w:pPr>
        <w:rPr>
          <w:lang w:val="fr-CA"/>
        </w:rPr>
      </w:pPr>
      <w:r w:rsidRPr="00061CE3">
        <w:rPr>
          <w:lang w:val="fr-CA"/>
        </w:rPr>
        <w:t>Le RCA a pour objectif d’être la plateforme nationale intersectorielle du Canada afin d’autonomiser les personnes en situation de handicap, d’améliorer les résultats socio-économiques et sanitaires et de changer les mentalités et les comportements pour créer un Canada plus accessible et plus inclusif.</w:t>
      </w:r>
    </w:p>
    <w:p w14:paraId="23C9B4F8" w14:textId="20484798" w:rsidR="009D3391" w:rsidRPr="00061CE3" w:rsidRDefault="003307FF" w:rsidP="00C55DFF">
      <w:pPr>
        <w:pStyle w:val="Heading2"/>
        <w:rPr>
          <w:lang w:val="fr-CA"/>
        </w:rPr>
      </w:pPr>
      <w:bookmarkStart w:id="10" w:name="_Toc166747259"/>
      <w:bookmarkStart w:id="11" w:name="_Toc174366166"/>
      <w:r w:rsidRPr="00061CE3">
        <w:rPr>
          <w:bCs/>
          <w:lang w:val="fr-CA"/>
        </w:rPr>
        <w:t>3.2 Mission du RCA</w:t>
      </w:r>
      <w:bookmarkEnd w:id="10"/>
      <w:bookmarkEnd w:id="11"/>
    </w:p>
    <w:p w14:paraId="14ED6E38" w14:textId="77777777" w:rsidR="00F15D18" w:rsidRPr="00061CE3" w:rsidRDefault="00F15D18" w:rsidP="007762E5">
      <w:pPr>
        <w:spacing w:after="120"/>
        <w:contextualSpacing/>
        <w:rPr>
          <w:lang w:val="fr-CA"/>
        </w:rPr>
      </w:pPr>
      <w:r w:rsidRPr="00061CE3">
        <w:rPr>
          <w:lang w:val="fr-CA"/>
        </w:rPr>
        <w:t>La mission du Réseau canadien d’accessibilité est de :</w:t>
      </w:r>
    </w:p>
    <w:p w14:paraId="4A91F3FE" w14:textId="77777777" w:rsidR="00F15D18" w:rsidRPr="00061CE3" w:rsidRDefault="00F15D18" w:rsidP="007762E5">
      <w:pPr>
        <w:pStyle w:val="ListParagraph"/>
        <w:numPr>
          <w:ilvl w:val="0"/>
          <w:numId w:val="14"/>
        </w:numPr>
        <w:spacing w:after="120"/>
        <w:contextualSpacing w:val="0"/>
        <w:rPr>
          <w:lang w:val="fr-CA"/>
        </w:rPr>
      </w:pPr>
      <w:r w:rsidRPr="00061CE3">
        <w:rPr>
          <w:lang w:val="fr-CA"/>
        </w:rPr>
        <w:t>Favoriser l’accessibilité pour les personnes en situation de handicap via la recherche, la conception, la technologie et l’innovation, l’éducation et la formation, les politiques, l’emploi et l’engagement communautaire.</w:t>
      </w:r>
    </w:p>
    <w:p w14:paraId="28297FF9" w14:textId="77777777" w:rsidR="00F15D18" w:rsidRPr="00061CE3" w:rsidRDefault="00F15D18" w:rsidP="007762E5">
      <w:pPr>
        <w:pStyle w:val="ListParagraph"/>
        <w:numPr>
          <w:ilvl w:val="0"/>
          <w:numId w:val="14"/>
        </w:numPr>
        <w:spacing w:after="120"/>
        <w:contextualSpacing w:val="0"/>
        <w:rPr>
          <w:lang w:val="fr-CA"/>
        </w:rPr>
      </w:pPr>
      <w:r w:rsidRPr="00061CE3">
        <w:rPr>
          <w:lang w:val="fr-CA"/>
        </w:rPr>
        <w:t>Nouer des partenariats stratégiques entre individus et établissements qui favorisent l’accessibilité en vue d’encourager un leadership novateur et orienté vers l’action.</w:t>
      </w:r>
    </w:p>
    <w:p w14:paraId="48CD852E" w14:textId="480CA52D" w:rsidR="009D3391" w:rsidRPr="00061CE3" w:rsidRDefault="00F15D18" w:rsidP="007762E5">
      <w:pPr>
        <w:pStyle w:val="ListParagraph"/>
        <w:numPr>
          <w:ilvl w:val="0"/>
          <w:numId w:val="14"/>
        </w:numPr>
        <w:spacing w:after="120"/>
        <w:contextualSpacing w:val="0"/>
        <w:rPr>
          <w:lang w:val="fr-CA"/>
        </w:rPr>
      </w:pPr>
      <w:r w:rsidRPr="00061CE3">
        <w:rPr>
          <w:lang w:val="fr-CA"/>
        </w:rPr>
        <w:t>Mettre en synergie les atouts du Canada en matière d’accessibilité dans tous les secteurs et toutes les disciplines afin d’apporter des changements systémiques et culturels au niveau de l’équité, des mentalités et des comportements à l’égard des personnes en situation de handicap.</w:t>
      </w:r>
    </w:p>
    <w:p w14:paraId="79506C7D" w14:textId="77777777" w:rsidR="007762E5" w:rsidRDefault="007762E5">
      <w:pPr>
        <w:rPr>
          <w:rFonts w:eastAsia="Helvetica Neue"/>
          <w:b/>
          <w:bCs/>
          <w:color w:val="C00000"/>
          <w:sz w:val="26"/>
          <w:lang w:val="fr-CA"/>
        </w:rPr>
      </w:pPr>
      <w:bookmarkStart w:id="12" w:name="_Toc166747260"/>
      <w:r>
        <w:rPr>
          <w:bCs/>
          <w:lang w:val="fr-CA"/>
        </w:rPr>
        <w:br w:type="page"/>
      </w:r>
    </w:p>
    <w:p w14:paraId="57B4D302" w14:textId="60B776AB" w:rsidR="00F15D18" w:rsidRPr="00061CE3" w:rsidRDefault="003307FF" w:rsidP="00C55DFF">
      <w:pPr>
        <w:pStyle w:val="Heading2"/>
        <w:rPr>
          <w:lang w:val="fr-CA"/>
        </w:rPr>
      </w:pPr>
      <w:bookmarkStart w:id="13" w:name="_Toc174366167"/>
      <w:r w:rsidRPr="00061CE3">
        <w:rPr>
          <w:bCs/>
          <w:lang w:val="fr-CA"/>
        </w:rPr>
        <w:lastRenderedPageBreak/>
        <w:t>3.3 Proposition de valeur intersectorielle</w:t>
      </w:r>
      <w:bookmarkEnd w:id="12"/>
      <w:bookmarkEnd w:id="13"/>
    </w:p>
    <w:p w14:paraId="6F112CC6" w14:textId="6EC82386" w:rsidR="00FF0707" w:rsidRPr="00061CE3" w:rsidRDefault="00FF0707" w:rsidP="007762E5">
      <w:pPr>
        <w:spacing w:after="120"/>
        <w:rPr>
          <w:lang w:val="fr-CA"/>
        </w:rPr>
      </w:pPr>
      <w:r w:rsidRPr="00061CE3">
        <w:rPr>
          <w:lang w:val="fr-CA"/>
        </w:rPr>
        <w:t>La création du Réseau canadien d’accessibilité (RCA) offre une occasion unique aux établissements d’enseignement, aux organisations sans but lucratif, aux gouvernements et aux entreprises de conjuguer et de tirer profit de leurs atouts respectifs en vue de promouvoir l’accessibilité et d’apporter des changements opportuns, réels et durables à la vie des personnes en situation de handicap. En unissant leurs efforts de façon soutenue, ces partenaires pourront :</w:t>
      </w:r>
    </w:p>
    <w:p w14:paraId="72C2A08D" w14:textId="77777777" w:rsidR="00FF0707" w:rsidRPr="00061CE3" w:rsidRDefault="00FF0707" w:rsidP="007762E5">
      <w:pPr>
        <w:pStyle w:val="ListParagraph"/>
        <w:numPr>
          <w:ilvl w:val="0"/>
          <w:numId w:val="15"/>
        </w:numPr>
        <w:spacing w:after="120"/>
        <w:contextualSpacing w:val="0"/>
        <w:rPr>
          <w:lang w:val="fr-CA"/>
        </w:rPr>
      </w:pPr>
      <w:r w:rsidRPr="00061CE3">
        <w:rPr>
          <w:lang w:val="fr-CA"/>
        </w:rPr>
        <w:t xml:space="preserve">Continuellement apprendre </w:t>
      </w:r>
      <w:proofErr w:type="gramStart"/>
      <w:r w:rsidRPr="00061CE3">
        <w:rPr>
          <w:lang w:val="fr-CA"/>
        </w:rPr>
        <w:t>les un</w:t>
      </w:r>
      <w:proofErr w:type="gramEnd"/>
      <w:r w:rsidRPr="00061CE3">
        <w:rPr>
          <w:lang w:val="fr-CA"/>
        </w:rPr>
        <w:t>(e)s des autres pour améliorer la qualité, la disponibilité et l’accessibilité de leurs établissements, programmes et services respectifs, ainsi qu’enrichir le soutien offert aux personnes en situation de handicap.</w:t>
      </w:r>
    </w:p>
    <w:p w14:paraId="0536A4B3" w14:textId="77777777" w:rsidR="00FF0707" w:rsidRPr="00061CE3" w:rsidRDefault="00FF0707" w:rsidP="007762E5">
      <w:pPr>
        <w:pStyle w:val="ListParagraph"/>
        <w:numPr>
          <w:ilvl w:val="0"/>
          <w:numId w:val="15"/>
        </w:numPr>
        <w:spacing w:after="120"/>
        <w:contextualSpacing w:val="0"/>
        <w:rPr>
          <w:lang w:val="fr-CA"/>
        </w:rPr>
      </w:pPr>
      <w:r w:rsidRPr="00061CE3">
        <w:rPr>
          <w:lang w:val="fr-CA"/>
        </w:rPr>
        <w:t>Veiller à ce que l’élaboration des politiques publiques, la prise de décisions relatives aux programmes et les actions de plaidoyer concernant l’accessibilité soient davantage fondées sur l’ensemble des faits de manière intégrée.</w:t>
      </w:r>
    </w:p>
    <w:p w14:paraId="7B779C3A" w14:textId="77777777" w:rsidR="00FF0707" w:rsidRPr="00061CE3" w:rsidRDefault="00FF0707" w:rsidP="007762E5">
      <w:pPr>
        <w:pStyle w:val="ListParagraph"/>
        <w:numPr>
          <w:ilvl w:val="0"/>
          <w:numId w:val="15"/>
        </w:numPr>
        <w:spacing w:after="120"/>
        <w:contextualSpacing w:val="0"/>
        <w:rPr>
          <w:lang w:val="fr-CA"/>
        </w:rPr>
      </w:pPr>
      <w:r w:rsidRPr="00061CE3">
        <w:rPr>
          <w:lang w:val="fr-CA"/>
        </w:rPr>
        <w:t>Réaliser un inventaire plus complémentaire et plus intégré des offres en matière d’éducation, de formation, d’emploi, d’implication et d’inclusion des personnes en situation de handicap.</w:t>
      </w:r>
    </w:p>
    <w:p w14:paraId="2E55F353" w14:textId="13548B78" w:rsidR="008F74AC" w:rsidRPr="007762E5" w:rsidRDefault="00FF0707" w:rsidP="007762E5">
      <w:pPr>
        <w:pStyle w:val="ListParagraph"/>
        <w:numPr>
          <w:ilvl w:val="0"/>
          <w:numId w:val="15"/>
        </w:numPr>
        <w:spacing w:after="120"/>
        <w:contextualSpacing w:val="0"/>
        <w:rPr>
          <w:lang w:val="fr-CA"/>
        </w:rPr>
      </w:pPr>
      <w:r w:rsidRPr="00061CE3">
        <w:rPr>
          <w:lang w:val="fr-CA"/>
        </w:rPr>
        <w:t>Renforcer les engagements de chacun(e) en vue de sensibiliser le public à l’accessibilité et d’appuyer les efforts visant à optimiser les contributions des personnes en situation de handicap.</w:t>
      </w:r>
      <w:bookmarkStart w:id="14" w:name="_Toc166747261"/>
    </w:p>
    <w:p w14:paraId="4E9BC96F" w14:textId="3AC18D49" w:rsidR="00FF0707" w:rsidRPr="00061CE3" w:rsidRDefault="003307FF" w:rsidP="00C55DFF">
      <w:pPr>
        <w:pStyle w:val="Heading2"/>
      </w:pPr>
      <w:bookmarkStart w:id="15" w:name="_Toc174366168"/>
      <w:r w:rsidRPr="00061CE3">
        <w:rPr>
          <w:bCs/>
          <w:lang w:val="fr-CA"/>
        </w:rPr>
        <w:t>3.4 Principes directeurs</w:t>
      </w:r>
      <w:bookmarkEnd w:id="14"/>
      <w:bookmarkEnd w:id="15"/>
    </w:p>
    <w:p w14:paraId="50708C8D" w14:textId="508E4DA1" w:rsidR="001319BE" w:rsidRPr="00061CE3" w:rsidRDefault="001319BE" w:rsidP="00EE5C59">
      <w:pPr>
        <w:pStyle w:val="ListParagraph"/>
        <w:numPr>
          <w:ilvl w:val="0"/>
          <w:numId w:val="16"/>
        </w:numPr>
        <w:spacing w:after="120"/>
        <w:contextualSpacing w:val="0"/>
        <w:rPr>
          <w:lang w:val="fr-CA"/>
        </w:rPr>
      </w:pPr>
      <w:r w:rsidRPr="00061CE3">
        <w:rPr>
          <w:lang w:val="fr-CA"/>
        </w:rPr>
        <w:t>Accessibilité – Le Réseau facilitera l’accès équitable et rapide des individus et des organisations aux connaissances, aux programmes et aux services du RCA, ainsi qu’à ses initiatives en matière d’engagement communautaire.</w:t>
      </w:r>
    </w:p>
    <w:p w14:paraId="08CCE740" w14:textId="0F07AE70" w:rsidR="001319BE" w:rsidRPr="00061CE3" w:rsidRDefault="001319BE" w:rsidP="00EE5C59">
      <w:pPr>
        <w:pStyle w:val="ListParagraph"/>
        <w:numPr>
          <w:ilvl w:val="0"/>
          <w:numId w:val="16"/>
        </w:numPr>
        <w:spacing w:after="120"/>
        <w:contextualSpacing w:val="0"/>
        <w:rPr>
          <w:lang w:val="fr-CA"/>
        </w:rPr>
      </w:pPr>
      <w:r w:rsidRPr="00061CE3">
        <w:rPr>
          <w:lang w:val="fr-CA"/>
        </w:rPr>
        <w:t>Inclusion – Le Réseau respectera le principe du « rien sur nous, sans nous » en encourageant l’inclusion et l’équité dans la définition de ses orientations stratégiques, dans ses activités quotidiennes et dans l’implication des partenaires et des parties prenantes.</w:t>
      </w:r>
    </w:p>
    <w:p w14:paraId="37D0368D" w14:textId="224CF21E" w:rsidR="001319BE" w:rsidRPr="00061CE3" w:rsidRDefault="001319BE" w:rsidP="00EE5C59">
      <w:pPr>
        <w:pStyle w:val="ListParagraph"/>
        <w:numPr>
          <w:ilvl w:val="0"/>
          <w:numId w:val="16"/>
        </w:numPr>
        <w:spacing w:after="120"/>
        <w:contextualSpacing w:val="0"/>
        <w:rPr>
          <w:lang w:val="fr-CA"/>
        </w:rPr>
      </w:pPr>
      <w:r w:rsidRPr="00061CE3">
        <w:rPr>
          <w:lang w:val="fr-CA"/>
        </w:rPr>
        <w:t xml:space="preserve">Intersectionnalité – Conformément à la </w:t>
      </w:r>
      <w:r w:rsidRPr="00061CE3">
        <w:rPr>
          <w:i/>
          <w:iCs/>
          <w:lang w:val="fr-CA"/>
        </w:rPr>
        <w:t>Loi canadienne sur l’accessibilité</w:t>
      </w:r>
      <w:r w:rsidRPr="00061CE3">
        <w:rPr>
          <w:lang w:val="fr-CA"/>
        </w:rPr>
        <w:t xml:space="preserve"> et à la Convention relative aux droits des personnes handicapées, le Réseau reconnaît l’intersectionnalité et les droits de la personne comme le cadre organisationnel pour tous ses travaux. Ainsi, le RCA reconnaît la diversité des identités et des expériences vécues dans la société et la réalité des inégalités multiples à laquelle sont confrontées les personnes en situation de handicap. Le Réseau adoptera cette approche intersectionnelle dans tous ses processus décisionnels.</w:t>
      </w:r>
    </w:p>
    <w:p w14:paraId="49C990D2" w14:textId="4F4B91D8" w:rsidR="001319BE" w:rsidRPr="00061CE3" w:rsidRDefault="001319BE" w:rsidP="00EE5C59">
      <w:pPr>
        <w:pStyle w:val="ListParagraph"/>
        <w:numPr>
          <w:ilvl w:val="0"/>
          <w:numId w:val="16"/>
        </w:numPr>
        <w:spacing w:after="120"/>
        <w:contextualSpacing w:val="0"/>
        <w:rPr>
          <w:lang w:val="fr-CA"/>
        </w:rPr>
      </w:pPr>
      <w:r w:rsidRPr="00061CE3">
        <w:rPr>
          <w:lang w:val="fr-CA"/>
        </w:rPr>
        <w:lastRenderedPageBreak/>
        <w:t>Collaboration – Le Réseau collaborera efficacement avec les communautés des personnes en situation de handicap et ses partenaires des secteurs public, privé et des organisations sans but lucratif en vue de maximiser la pertinence, l’application et l’incidence de ses connaissances et de ses propositions.</w:t>
      </w:r>
    </w:p>
    <w:p w14:paraId="54C59AB6" w14:textId="147862AC" w:rsidR="001319BE" w:rsidRPr="00061CE3" w:rsidRDefault="001319BE" w:rsidP="00EE5C59">
      <w:pPr>
        <w:pStyle w:val="ListParagraph"/>
        <w:numPr>
          <w:ilvl w:val="0"/>
          <w:numId w:val="16"/>
        </w:numPr>
        <w:spacing w:after="120"/>
        <w:contextualSpacing w:val="0"/>
        <w:rPr>
          <w:lang w:val="fr-CA"/>
        </w:rPr>
      </w:pPr>
      <w:r w:rsidRPr="00061CE3">
        <w:rPr>
          <w:lang w:val="fr-CA"/>
        </w:rPr>
        <w:t>Excellence – Le Réseau facilitera la recherche, l’éducation, la formation, l’élaboration de politiques et la mobilisation de connaissances en matière d’accessibilité, et ce, dans le respect des normes internationales les plus rigoureuses et des meilleures pratiques.</w:t>
      </w:r>
    </w:p>
    <w:p w14:paraId="3BCD0A77" w14:textId="00985C9A" w:rsidR="001319BE" w:rsidRPr="00061CE3" w:rsidRDefault="001319BE" w:rsidP="00EE5C59">
      <w:pPr>
        <w:pStyle w:val="ListParagraph"/>
        <w:numPr>
          <w:ilvl w:val="0"/>
          <w:numId w:val="16"/>
        </w:numPr>
        <w:spacing w:after="120"/>
        <w:contextualSpacing w:val="0"/>
        <w:rPr>
          <w:lang w:val="fr-CA"/>
        </w:rPr>
      </w:pPr>
      <w:r w:rsidRPr="00061CE3">
        <w:rPr>
          <w:lang w:val="fr-CA"/>
        </w:rPr>
        <w:t>Innovation – Le Réseau lancera et favorisera de nouvelles approches visant à comprendre l’accessibilité, ainsi que de nouveaux moyens d’aborder les défis et les possibilités des Canadiens et Canadiennes en matière d’accessibilité.</w:t>
      </w:r>
    </w:p>
    <w:p w14:paraId="4417429C" w14:textId="2257523B" w:rsidR="001319BE" w:rsidRPr="00061CE3" w:rsidRDefault="001319BE" w:rsidP="00EE5C59">
      <w:pPr>
        <w:pStyle w:val="ListParagraph"/>
        <w:numPr>
          <w:ilvl w:val="0"/>
          <w:numId w:val="16"/>
        </w:numPr>
        <w:spacing w:after="120"/>
        <w:contextualSpacing w:val="0"/>
        <w:rPr>
          <w:lang w:val="fr-CA"/>
        </w:rPr>
      </w:pPr>
      <w:r w:rsidRPr="00061CE3">
        <w:rPr>
          <w:lang w:val="fr-CA"/>
        </w:rPr>
        <w:t>Durabilité – Le Réseau poursuivra sa mission de façon à encourager la durabilité de ses organisations partenaires et à attirer les ressources nécessaires à l’augmentation de sa capacité et de ses contributions.</w:t>
      </w:r>
    </w:p>
    <w:p w14:paraId="65501080" w14:textId="34BBC1C0" w:rsidR="00FF0707" w:rsidRPr="00061CE3" w:rsidRDefault="001319BE" w:rsidP="00EE5C59">
      <w:pPr>
        <w:pStyle w:val="ListParagraph"/>
        <w:numPr>
          <w:ilvl w:val="0"/>
          <w:numId w:val="16"/>
        </w:numPr>
        <w:spacing w:after="120"/>
        <w:contextualSpacing w:val="0"/>
        <w:rPr>
          <w:lang w:val="fr-CA"/>
        </w:rPr>
      </w:pPr>
      <w:r w:rsidRPr="00061CE3">
        <w:rPr>
          <w:lang w:val="fr-CA"/>
        </w:rPr>
        <w:t>Imputabilité – Le Réseau régira et dirigera ses activités avec intégrité afin de garantir une solide gestion des ressources qui lui sont confiées, de rendre des comptes à ses partenaires et de préserver la confiance des personnes qu’il cherche à servir et à impliquer. </w:t>
      </w:r>
    </w:p>
    <w:p w14:paraId="5887E3E5" w14:textId="77777777" w:rsidR="00752E1B" w:rsidRPr="00061CE3" w:rsidRDefault="00752E1B">
      <w:pPr>
        <w:rPr>
          <w:rFonts w:eastAsia="Helvetica Neue"/>
          <w:b/>
          <w:color w:val="C00000"/>
          <w:sz w:val="32"/>
          <w:szCs w:val="32"/>
          <w:lang w:val="fr-CA"/>
        </w:rPr>
      </w:pPr>
      <w:bookmarkStart w:id="16" w:name="_Toc166747262"/>
      <w:r w:rsidRPr="00061CE3">
        <w:rPr>
          <w:lang w:val="fr-CA"/>
        </w:rPr>
        <w:br w:type="page"/>
      </w:r>
    </w:p>
    <w:p w14:paraId="74311697" w14:textId="487F590B" w:rsidR="001319BE" w:rsidRPr="00061CE3" w:rsidRDefault="006C7F7F" w:rsidP="001319BE">
      <w:pPr>
        <w:pStyle w:val="Heading1"/>
        <w:rPr>
          <w:lang w:val="fr-CA"/>
        </w:rPr>
      </w:pPr>
      <w:bookmarkStart w:id="17" w:name="_Toc174366169"/>
      <w:r w:rsidRPr="00061CE3">
        <w:rPr>
          <w:bCs/>
          <w:lang w:val="fr-CA"/>
        </w:rPr>
        <w:lastRenderedPageBreak/>
        <w:t>4.0 Gouvernance du RCA</w:t>
      </w:r>
      <w:bookmarkEnd w:id="16"/>
      <w:bookmarkEnd w:id="17"/>
    </w:p>
    <w:p w14:paraId="7CF25E7E" w14:textId="5BF18AFE" w:rsidR="001319BE" w:rsidRPr="00061CE3" w:rsidRDefault="003307FF" w:rsidP="00C55DFF">
      <w:pPr>
        <w:pStyle w:val="Heading2"/>
        <w:rPr>
          <w:lang w:val="fr-CA"/>
        </w:rPr>
      </w:pPr>
      <w:bookmarkStart w:id="18" w:name="_Toc166747263"/>
      <w:bookmarkStart w:id="19" w:name="_Toc174366170"/>
      <w:r w:rsidRPr="00061CE3">
        <w:rPr>
          <w:bCs/>
          <w:lang w:val="fr-CA"/>
        </w:rPr>
        <w:t>4.1 Conseil de direction</w:t>
      </w:r>
      <w:bookmarkEnd w:id="18"/>
      <w:bookmarkEnd w:id="19"/>
    </w:p>
    <w:p w14:paraId="423D049C" w14:textId="2204AC08" w:rsidR="001319BE" w:rsidRPr="00061CE3" w:rsidRDefault="00B821A6" w:rsidP="001319BE">
      <w:pPr>
        <w:rPr>
          <w:lang w:val="fr-CA"/>
        </w:rPr>
      </w:pPr>
      <w:r w:rsidRPr="00061CE3">
        <w:rPr>
          <w:lang w:val="fr-CA"/>
        </w:rPr>
        <w:t>Le rôle principal du conseil de direction du RCA est d’assurer la gérance du Réseau au nom des organisations partenaires, qui bénéficieront des activités du Réseau et de leurs portées. Le conseil est composé de 17 personnes qui représentent divers secteurs et organisations au Canada, et qui s’intéressent à l’accessibilité et à l’inclusion. Le conseil de direction supervise la conduite des affaires du Réseau en collaboration avec le bureau national du RCA, qui est responsable de l’accomplissement au quotidien de la mission du réseau.</w:t>
      </w:r>
    </w:p>
    <w:p w14:paraId="2536F514" w14:textId="4E27C57F" w:rsidR="00B821A6" w:rsidRPr="00061CE3" w:rsidRDefault="003307FF" w:rsidP="00C55DFF">
      <w:pPr>
        <w:pStyle w:val="Heading2"/>
        <w:rPr>
          <w:lang w:val="fr-CA"/>
        </w:rPr>
      </w:pPr>
      <w:bookmarkStart w:id="20" w:name="_Toc166747264"/>
      <w:bookmarkStart w:id="21" w:name="_Toc174366171"/>
      <w:r w:rsidRPr="00061CE3">
        <w:rPr>
          <w:bCs/>
          <w:lang w:val="fr-CA"/>
        </w:rPr>
        <w:t>4.2 Conseil consultatif</w:t>
      </w:r>
      <w:bookmarkEnd w:id="20"/>
      <w:bookmarkEnd w:id="21"/>
    </w:p>
    <w:p w14:paraId="61357A52" w14:textId="7BF69814" w:rsidR="00442310" w:rsidRPr="00061CE3" w:rsidRDefault="00442310" w:rsidP="00442310">
      <w:pPr>
        <w:rPr>
          <w:lang w:val="fr-CA"/>
        </w:rPr>
      </w:pPr>
      <w:r w:rsidRPr="00061CE3">
        <w:rPr>
          <w:lang w:val="fr-CA"/>
        </w:rPr>
        <w:t xml:space="preserve">Le conseil consultatif est composé des représentant(e)s désigné(e)s de chacune de nos 107 organisations collaboratrices. Le rôle du conseil consultatif est d’apporter une voix pancanadienne au Réseau, au nom de la région d’origine respective de chaque représentant(e), en ce qui concerne la promotion de l’accessibilité pour les personnes en situation de handicap. </w:t>
      </w:r>
    </w:p>
    <w:p w14:paraId="2EFF9E2C" w14:textId="5BA293F9" w:rsidR="00B821A6" w:rsidRPr="00061CE3" w:rsidRDefault="00442310" w:rsidP="00EE5C59">
      <w:pPr>
        <w:spacing w:before="240"/>
        <w:rPr>
          <w:lang w:val="fr-CA"/>
        </w:rPr>
      </w:pPr>
      <w:r w:rsidRPr="00061CE3">
        <w:rPr>
          <w:lang w:val="fr-CA"/>
        </w:rPr>
        <w:t>Le conseil consultatif offre au conseil de direction et aux communautés de pratiques un groupe de rétroaction intersectorielle, interdisciplinaire et internationale. Il permet également de s’assurer que le conseil de direction et les communautés de pratiques bénéficient de l’expérience vécue des personnes en situation de handicap et de leurs équipes de soutien.</w:t>
      </w:r>
    </w:p>
    <w:p w14:paraId="5F83D071" w14:textId="77777777" w:rsidR="00752E1B" w:rsidRPr="00061CE3" w:rsidRDefault="00752E1B">
      <w:pPr>
        <w:rPr>
          <w:rFonts w:eastAsia="Helvetica Neue"/>
          <w:b/>
          <w:color w:val="C00000"/>
          <w:sz w:val="32"/>
          <w:szCs w:val="32"/>
          <w:lang w:val="fr-CA"/>
        </w:rPr>
      </w:pPr>
      <w:bookmarkStart w:id="22" w:name="_Toc166747265"/>
      <w:r w:rsidRPr="00061CE3">
        <w:rPr>
          <w:lang w:val="fr-CA"/>
        </w:rPr>
        <w:br w:type="page"/>
      </w:r>
    </w:p>
    <w:p w14:paraId="6B9D0FF5" w14:textId="60EC2CE9" w:rsidR="00442310" w:rsidRPr="00061CE3" w:rsidRDefault="006C7F7F" w:rsidP="00863441">
      <w:pPr>
        <w:pStyle w:val="Heading1"/>
        <w:spacing w:after="120"/>
        <w:rPr>
          <w:lang w:val="fr-CA"/>
        </w:rPr>
      </w:pPr>
      <w:bookmarkStart w:id="23" w:name="_Toc174366172"/>
      <w:r w:rsidRPr="00061CE3">
        <w:rPr>
          <w:bCs/>
          <w:lang w:val="fr-CA"/>
        </w:rPr>
        <w:lastRenderedPageBreak/>
        <w:t>5.0 Communautés de pratique</w:t>
      </w:r>
      <w:bookmarkEnd w:id="22"/>
      <w:bookmarkEnd w:id="23"/>
    </w:p>
    <w:p w14:paraId="03AB6795" w14:textId="41283299" w:rsidR="00442310" w:rsidRPr="00061CE3" w:rsidRDefault="0099519B" w:rsidP="00442310">
      <w:pPr>
        <w:rPr>
          <w:lang w:val="fr-CA"/>
        </w:rPr>
      </w:pPr>
      <w:r w:rsidRPr="00061CE3">
        <w:rPr>
          <w:lang w:val="fr-CA"/>
        </w:rPr>
        <w:t>Au cours de l’exercice 2023-2024, les communautés de pratique du RCA ont continué à favoriser la participation des membres du Réseau. Le RCA dispose actuellement de quatre communautés de pratique distinctes, qui regroupent collectivement 274 membres.</w:t>
      </w:r>
    </w:p>
    <w:p w14:paraId="6BAC3C0F" w14:textId="704080C4" w:rsidR="0099519B" w:rsidRPr="00061CE3" w:rsidRDefault="003D0148" w:rsidP="00B10D35">
      <w:pPr>
        <w:pStyle w:val="Heading2"/>
        <w:spacing w:before="200" w:after="60"/>
        <w:rPr>
          <w:sz w:val="24"/>
          <w:szCs w:val="20"/>
          <w:lang w:val="fr-CA"/>
        </w:rPr>
      </w:pPr>
      <w:bookmarkStart w:id="24" w:name="_Toc166747266"/>
      <w:bookmarkStart w:id="25" w:name="_Toc174366173"/>
      <w:r w:rsidRPr="00061CE3">
        <w:rPr>
          <w:bCs/>
          <w:sz w:val="24"/>
          <w:szCs w:val="20"/>
          <w:lang w:val="fr-CA"/>
        </w:rPr>
        <w:t>5.1 Communauté de pratique sur l’éducation et la formation</w:t>
      </w:r>
      <w:bookmarkEnd w:id="24"/>
      <w:bookmarkEnd w:id="25"/>
    </w:p>
    <w:p w14:paraId="7DDD9807" w14:textId="77777777" w:rsidR="00BA3E23" w:rsidRPr="00061CE3" w:rsidRDefault="00BA3E23" w:rsidP="00DE15AD">
      <w:pPr>
        <w:spacing w:before="160" w:after="80"/>
        <w:rPr>
          <w:lang w:val="fr-CA"/>
        </w:rPr>
      </w:pPr>
      <w:r w:rsidRPr="00061CE3">
        <w:rPr>
          <w:b/>
          <w:bCs/>
          <w:lang w:val="fr-CA"/>
        </w:rPr>
        <w:t>Membres :</w:t>
      </w:r>
      <w:r w:rsidRPr="00061CE3">
        <w:rPr>
          <w:lang w:val="fr-CA"/>
        </w:rPr>
        <w:t xml:space="preserve"> 75 membres</w:t>
      </w:r>
    </w:p>
    <w:p w14:paraId="391E4B44" w14:textId="77777777" w:rsidR="00BA3E23" w:rsidRPr="00061CE3" w:rsidRDefault="00BA3E23" w:rsidP="00DE15AD">
      <w:pPr>
        <w:spacing w:after="120"/>
        <w:rPr>
          <w:lang w:val="fr-CA"/>
        </w:rPr>
      </w:pPr>
      <w:r w:rsidRPr="00061CE3">
        <w:rPr>
          <w:b/>
          <w:bCs/>
          <w:lang w:val="fr-CA"/>
        </w:rPr>
        <w:t>Axe principal :</w:t>
      </w:r>
      <w:r w:rsidRPr="00061CE3">
        <w:rPr>
          <w:lang w:val="fr-CA"/>
        </w:rPr>
        <w:t xml:space="preserve"> Cette communauté de pratique a pour objectif d’améliorer notre compréhension de l’accessibilité par le biais d’initiatives et de programmes d’éducation et de formation. Les membres de cette communauté de pratique sont actuellement </w:t>
      </w:r>
      <w:proofErr w:type="gramStart"/>
      <w:r w:rsidRPr="00061CE3">
        <w:rPr>
          <w:lang w:val="fr-CA"/>
        </w:rPr>
        <w:t>impliqué</w:t>
      </w:r>
      <w:proofErr w:type="gramEnd"/>
      <w:r w:rsidRPr="00061CE3">
        <w:rPr>
          <w:lang w:val="fr-CA"/>
        </w:rPr>
        <w:t>(e)s dans deux projets majeurs :</w:t>
      </w:r>
    </w:p>
    <w:p w14:paraId="5A3A39F5" w14:textId="77777777" w:rsidR="00BA3E23" w:rsidRPr="00061CE3" w:rsidRDefault="00BA3E23" w:rsidP="00B10D35">
      <w:pPr>
        <w:pStyle w:val="ListParagraph"/>
        <w:numPr>
          <w:ilvl w:val="0"/>
          <w:numId w:val="8"/>
        </w:numPr>
        <w:spacing w:after="80"/>
        <w:contextualSpacing w:val="0"/>
        <w:rPr>
          <w:lang w:val="fr-CA"/>
        </w:rPr>
      </w:pPr>
      <w:r w:rsidRPr="00061CE3">
        <w:rPr>
          <w:b/>
          <w:bCs/>
          <w:lang w:val="fr-CA"/>
        </w:rPr>
        <w:t xml:space="preserve">Guide sur le </w:t>
      </w:r>
      <w:proofErr w:type="spellStart"/>
      <w:r w:rsidRPr="00061CE3">
        <w:rPr>
          <w:b/>
          <w:bCs/>
          <w:lang w:val="fr-CA"/>
        </w:rPr>
        <w:t>capacitisme</w:t>
      </w:r>
      <w:proofErr w:type="spellEnd"/>
      <w:r w:rsidRPr="00061CE3">
        <w:rPr>
          <w:b/>
          <w:bCs/>
          <w:lang w:val="fr-CA"/>
        </w:rPr>
        <w:t> :</w:t>
      </w:r>
      <w:r w:rsidRPr="00061CE3">
        <w:rPr>
          <w:lang w:val="fr-CA"/>
        </w:rPr>
        <w:t xml:space="preserve"> Une ressource visant à accroître la sensibilisation et à consolider l’éducation concernant les enjeux et les répercussions du </w:t>
      </w:r>
      <w:proofErr w:type="spellStart"/>
      <w:r w:rsidRPr="00061CE3">
        <w:rPr>
          <w:lang w:val="fr-CA"/>
        </w:rPr>
        <w:t>capacitisme</w:t>
      </w:r>
      <w:proofErr w:type="spellEnd"/>
      <w:r w:rsidRPr="00061CE3">
        <w:rPr>
          <w:lang w:val="fr-CA"/>
        </w:rPr>
        <w:t xml:space="preserve"> dans divers contextes.</w:t>
      </w:r>
    </w:p>
    <w:p w14:paraId="06CE4612" w14:textId="7FA7B098" w:rsidR="00BA3E23" w:rsidRPr="00061CE3" w:rsidRDefault="00BA3E23" w:rsidP="00B10D35">
      <w:pPr>
        <w:pStyle w:val="ListParagraph"/>
        <w:numPr>
          <w:ilvl w:val="0"/>
          <w:numId w:val="8"/>
        </w:numPr>
        <w:spacing w:after="80"/>
        <w:contextualSpacing w:val="0"/>
        <w:rPr>
          <w:lang w:val="fr-CA"/>
        </w:rPr>
      </w:pPr>
      <w:r w:rsidRPr="00061CE3">
        <w:rPr>
          <w:b/>
          <w:bCs/>
          <w:lang w:val="fr-CA"/>
        </w:rPr>
        <w:t>Guide pour la consultation des personnes en situation de handicap</w:t>
      </w:r>
      <w:r w:rsidRPr="00061CE3">
        <w:rPr>
          <w:lang w:val="fr-CA"/>
        </w:rPr>
        <w:t xml:space="preserve"> Ce projet vise à élaborer un guide pour aider les organisations à impliquer efficacement les personnes en situation de handicap dans la mise en place de politiques, d’outils et de services. Il aborde les pratiques exemplaires en matière de consultation, de détermination du temps de participation, de rémunération équitable et de prévention contre la surcharge pour </w:t>
      </w:r>
      <w:proofErr w:type="gramStart"/>
      <w:r w:rsidRPr="00061CE3">
        <w:rPr>
          <w:lang w:val="fr-CA"/>
        </w:rPr>
        <w:t>les participant</w:t>
      </w:r>
      <w:proofErr w:type="gramEnd"/>
      <w:r w:rsidRPr="00061CE3">
        <w:rPr>
          <w:lang w:val="fr-CA"/>
        </w:rPr>
        <w:t>(e)s, en réponse aux nouvelles exigences législatives telles que celles de la loi sur l’accessibilité de la Colombie-Britannique.</w:t>
      </w:r>
    </w:p>
    <w:p w14:paraId="59B4CB14" w14:textId="1C16A404" w:rsidR="00BA3E23" w:rsidRPr="00061CE3" w:rsidRDefault="003D0148" w:rsidP="00B10D35">
      <w:pPr>
        <w:pStyle w:val="Heading2"/>
        <w:spacing w:before="200" w:after="60"/>
        <w:rPr>
          <w:sz w:val="24"/>
          <w:szCs w:val="20"/>
          <w:lang w:val="fr-CA"/>
        </w:rPr>
      </w:pPr>
      <w:bookmarkStart w:id="26" w:name="_Toc166747267"/>
      <w:bookmarkStart w:id="27" w:name="_Toc174366174"/>
      <w:r w:rsidRPr="00061CE3">
        <w:rPr>
          <w:bCs/>
          <w:sz w:val="24"/>
          <w:szCs w:val="20"/>
          <w:lang w:val="fr-CA"/>
        </w:rPr>
        <w:t>5.2 Communauté de pratique sur les politiques</w:t>
      </w:r>
      <w:bookmarkEnd w:id="26"/>
      <w:bookmarkEnd w:id="27"/>
    </w:p>
    <w:p w14:paraId="4FAB3AAF" w14:textId="77777777" w:rsidR="00C55DFF" w:rsidRPr="00061CE3" w:rsidRDefault="00C55DFF" w:rsidP="00DE15AD">
      <w:pPr>
        <w:spacing w:before="160" w:after="80"/>
        <w:rPr>
          <w:lang w:val="fr-CA"/>
        </w:rPr>
      </w:pPr>
      <w:r w:rsidRPr="00061CE3">
        <w:rPr>
          <w:b/>
          <w:bCs/>
          <w:lang w:val="fr-CA"/>
        </w:rPr>
        <w:t xml:space="preserve">Membres : </w:t>
      </w:r>
      <w:r w:rsidRPr="00061CE3">
        <w:rPr>
          <w:lang w:val="fr-CA"/>
        </w:rPr>
        <w:t>62 membres</w:t>
      </w:r>
    </w:p>
    <w:p w14:paraId="76F72AF4" w14:textId="77777777" w:rsidR="00C55DFF" w:rsidRPr="00061CE3" w:rsidRDefault="00C55DFF" w:rsidP="00DE15AD">
      <w:pPr>
        <w:spacing w:after="120"/>
        <w:rPr>
          <w:lang w:val="fr-CA"/>
        </w:rPr>
      </w:pPr>
      <w:r w:rsidRPr="00061CE3">
        <w:rPr>
          <w:b/>
          <w:bCs/>
          <w:lang w:val="fr-CA"/>
        </w:rPr>
        <w:t xml:space="preserve">Axe principal : </w:t>
      </w:r>
      <w:r w:rsidRPr="00061CE3">
        <w:rPr>
          <w:lang w:val="fr-CA"/>
        </w:rPr>
        <w:t>Cette communauté de pratique dédiée à l’élaboration et à la défense de cadres politiques accessibles est impliquée dans plusieurs projets clés :</w:t>
      </w:r>
    </w:p>
    <w:p w14:paraId="0337DB9D" w14:textId="77777777" w:rsidR="00C55DFF" w:rsidRPr="00061CE3" w:rsidRDefault="00C55DFF" w:rsidP="00B10D35">
      <w:pPr>
        <w:pStyle w:val="ListParagraph"/>
        <w:numPr>
          <w:ilvl w:val="0"/>
          <w:numId w:val="9"/>
        </w:numPr>
        <w:spacing w:after="80" w:line="259" w:lineRule="auto"/>
        <w:contextualSpacing w:val="0"/>
        <w:rPr>
          <w:lang w:val="fr-CA"/>
        </w:rPr>
      </w:pPr>
      <w:r w:rsidRPr="00061CE3">
        <w:rPr>
          <w:b/>
          <w:bCs/>
          <w:lang w:val="fr-CA"/>
        </w:rPr>
        <w:t>Examen de la législation canadienne :</w:t>
      </w:r>
      <w:r w:rsidRPr="00061CE3">
        <w:rPr>
          <w:lang w:val="fr-CA"/>
        </w:rPr>
        <w:t xml:space="preserve"> Un examen approfondi de la législation canadienne existante en matière d’accessibilité afin d’identifier les lacunes et les domaines propices à des activités de défense des intérêts.</w:t>
      </w:r>
    </w:p>
    <w:p w14:paraId="10F0CB03" w14:textId="77777777" w:rsidR="00C55DFF" w:rsidRPr="00061CE3" w:rsidRDefault="00C55DFF" w:rsidP="00B10D35">
      <w:pPr>
        <w:pStyle w:val="ListParagraph"/>
        <w:numPr>
          <w:ilvl w:val="0"/>
          <w:numId w:val="9"/>
        </w:numPr>
        <w:spacing w:after="80" w:line="259" w:lineRule="auto"/>
        <w:contextualSpacing w:val="0"/>
        <w:rPr>
          <w:lang w:val="fr-CA"/>
        </w:rPr>
      </w:pPr>
      <w:r w:rsidRPr="00061CE3">
        <w:rPr>
          <w:b/>
          <w:bCs/>
          <w:lang w:val="fr-CA"/>
        </w:rPr>
        <w:t>Examen du Plan d’action pour l’inclusion des personnes en situation de handicap :</w:t>
      </w:r>
      <w:r w:rsidRPr="00061CE3">
        <w:rPr>
          <w:lang w:val="fr-CA"/>
        </w:rPr>
        <w:t xml:space="preserve"> Ce projet permet de recueillir les commentaires des membres et de consulter le gouvernement afin d’affiner la mise en œuvre du Plan d’action pour l’inclusion des personnes en situation de handicap et de veiller à ce qu’il réponde aux besoins de la communauté.</w:t>
      </w:r>
    </w:p>
    <w:p w14:paraId="00A8F5AF" w14:textId="5F2EA5BD" w:rsidR="00C55DFF" w:rsidRPr="00061CE3" w:rsidRDefault="00C55DFF" w:rsidP="00B10D35">
      <w:pPr>
        <w:pStyle w:val="ListParagraph"/>
        <w:numPr>
          <w:ilvl w:val="0"/>
          <w:numId w:val="9"/>
        </w:numPr>
        <w:spacing w:after="80" w:line="259" w:lineRule="auto"/>
        <w:contextualSpacing w:val="0"/>
        <w:rPr>
          <w:lang w:val="fr-CA"/>
        </w:rPr>
      </w:pPr>
      <w:r w:rsidRPr="00061CE3">
        <w:rPr>
          <w:b/>
          <w:bCs/>
          <w:lang w:val="fr-CA"/>
        </w:rPr>
        <w:t xml:space="preserve">Outil de gouvernance inclusive : </w:t>
      </w:r>
      <w:r w:rsidRPr="00061CE3">
        <w:rPr>
          <w:lang w:val="fr-CA"/>
        </w:rPr>
        <w:t xml:space="preserve">Cet outil vise à garantir que les voix des personnes en situation de handicap soient incluses dans les processus de prise </w:t>
      </w:r>
      <w:r w:rsidRPr="00061CE3">
        <w:rPr>
          <w:lang w:val="fr-CA"/>
        </w:rPr>
        <w:lastRenderedPageBreak/>
        <w:t>de décision au sein du RCA, sur le lieu de travail et dans les organisations externes.</w:t>
      </w:r>
    </w:p>
    <w:p w14:paraId="06754CE9" w14:textId="24640363" w:rsidR="005B0BFC" w:rsidRPr="00061CE3" w:rsidRDefault="003D0148" w:rsidP="00DE15AD">
      <w:pPr>
        <w:pStyle w:val="Heading2"/>
        <w:spacing w:before="240" w:after="80"/>
        <w:rPr>
          <w:sz w:val="24"/>
          <w:szCs w:val="20"/>
          <w:lang w:val="fr-CA"/>
        </w:rPr>
      </w:pPr>
      <w:bookmarkStart w:id="28" w:name="_Toc166747268"/>
      <w:bookmarkStart w:id="29" w:name="_Toc174366175"/>
      <w:r w:rsidRPr="00061CE3">
        <w:rPr>
          <w:bCs/>
          <w:sz w:val="24"/>
          <w:szCs w:val="20"/>
          <w:lang w:val="fr-CA"/>
        </w:rPr>
        <w:t>5.3 Communauté de pratique sur l’emploi</w:t>
      </w:r>
      <w:bookmarkEnd w:id="28"/>
      <w:bookmarkEnd w:id="29"/>
    </w:p>
    <w:p w14:paraId="5E49B6FA" w14:textId="77777777" w:rsidR="00445209" w:rsidRPr="00061CE3" w:rsidRDefault="00445209" w:rsidP="00DE15AD">
      <w:pPr>
        <w:spacing w:before="160" w:after="80"/>
        <w:rPr>
          <w:lang w:val="fr-CA"/>
        </w:rPr>
      </w:pPr>
      <w:r w:rsidRPr="00061CE3">
        <w:rPr>
          <w:b/>
          <w:bCs/>
          <w:lang w:val="fr-CA"/>
        </w:rPr>
        <w:t xml:space="preserve">Membres : </w:t>
      </w:r>
      <w:r w:rsidRPr="00061CE3">
        <w:rPr>
          <w:lang w:val="fr-CA"/>
        </w:rPr>
        <w:t>69 membres</w:t>
      </w:r>
    </w:p>
    <w:p w14:paraId="4CFD8F41" w14:textId="77777777" w:rsidR="00445209" w:rsidRPr="00EE5C59" w:rsidRDefault="00445209" w:rsidP="00DE15AD">
      <w:pPr>
        <w:spacing w:after="120"/>
        <w:rPr>
          <w:lang w:val="fr-CA"/>
        </w:rPr>
      </w:pPr>
      <w:r w:rsidRPr="00061CE3">
        <w:rPr>
          <w:b/>
          <w:bCs/>
          <w:lang w:val="fr-CA"/>
        </w:rPr>
        <w:t>Axe principal :</w:t>
      </w:r>
      <w:r w:rsidRPr="00061CE3">
        <w:rPr>
          <w:lang w:val="fr-CA"/>
        </w:rPr>
        <w:t xml:space="preserve"> Cette communauté de pratique se concentre sur la promotion de l’accessibilité et de l’inclusion dans les pratiques d’emploi. Ces membres travaillent actuellement sur ce projet :</w:t>
      </w:r>
    </w:p>
    <w:p w14:paraId="366D82CF" w14:textId="4BCA46FD" w:rsidR="00445209" w:rsidRPr="00061CE3" w:rsidRDefault="00445209" w:rsidP="00445209">
      <w:pPr>
        <w:pStyle w:val="ListParagraph"/>
        <w:numPr>
          <w:ilvl w:val="0"/>
          <w:numId w:val="10"/>
        </w:numPr>
        <w:spacing w:after="160" w:line="259" w:lineRule="auto"/>
        <w:rPr>
          <w:lang w:val="fr-CA"/>
        </w:rPr>
      </w:pPr>
      <w:r w:rsidRPr="00061CE3">
        <w:rPr>
          <w:b/>
          <w:bCs/>
          <w:lang w:val="fr-CA"/>
        </w:rPr>
        <w:t xml:space="preserve">Cadre pour les initiatives d’accessibilité sur le lieu de travail en matière de handicap et d’emploi :  </w:t>
      </w:r>
      <w:r w:rsidRPr="00061CE3">
        <w:rPr>
          <w:lang w:val="fr-CA"/>
        </w:rPr>
        <w:t>Ce projet vise à développer un cadre clair, concis et simple d’utilisation pour soutenir les politiques et les pratiques qui favorisent l’accessibilité en matière d’emploi. L’accent sera mis sur la fourniture d’exemples de politiques, de pratiques et de processus qui favorisent les approches fondées sur les points forts pour les initiatives d’accessibilité en matière d’emploi. L’objectif est de réduire les obstacles systémiques, y compris les préjugés inconscients et les récits et pratiques qui stigmatisent, tout au long du cycle de vie de l’emploi (attraction, recrutement, intégration, apprentissage, développement, rétention et départ).</w:t>
      </w:r>
    </w:p>
    <w:p w14:paraId="7FD0386D" w14:textId="4815A5CF" w:rsidR="00445209" w:rsidRPr="00061CE3" w:rsidRDefault="003D0148" w:rsidP="00DE15AD">
      <w:pPr>
        <w:pStyle w:val="Heading2"/>
        <w:spacing w:before="240" w:after="80"/>
        <w:rPr>
          <w:sz w:val="24"/>
          <w:szCs w:val="20"/>
          <w:lang w:val="fr-CA"/>
        </w:rPr>
      </w:pPr>
      <w:bookmarkStart w:id="30" w:name="_Toc166747269"/>
      <w:bookmarkStart w:id="31" w:name="_Toc174366176"/>
      <w:r w:rsidRPr="00061CE3">
        <w:rPr>
          <w:bCs/>
          <w:sz w:val="24"/>
          <w:szCs w:val="20"/>
          <w:lang w:val="fr-CA"/>
        </w:rPr>
        <w:t>5.4 Communauté de pratique sur la recherche, la conception et l’innovation</w:t>
      </w:r>
      <w:bookmarkEnd w:id="30"/>
      <w:bookmarkEnd w:id="31"/>
    </w:p>
    <w:p w14:paraId="7A2663AF" w14:textId="77777777" w:rsidR="00CD5035" w:rsidRPr="00061CE3" w:rsidRDefault="00CD5035" w:rsidP="00DE15AD">
      <w:pPr>
        <w:spacing w:before="160" w:after="80"/>
        <w:rPr>
          <w:lang w:val="fr-CA"/>
        </w:rPr>
      </w:pPr>
      <w:r w:rsidRPr="00061CE3">
        <w:rPr>
          <w:b/>
          <w:bCs/>
          <w:lang w:val="fr-CA"/>
        </w:rPr>
        <w:t>Membres :</w:t>
      </w:r>
      <w:r w:rsidRPr="00061CE3">
        <w:rPr>
          <w:lang w:val="fr-CA"/>
        </w:rPr>
        <w:t xml:space="preserve"> 68 membres</w:t>
      </w:r>
    </w:p>
    <w:p w14:paraId="2DCB18CD" w14:textId="77777777" w:rsidR="00CD5035" w:rsidRPr="00EE5C59" w:rsidRDefault="00CD5035" w:rsidP="00DE15AD">
      <w:pPr>
        <w:spacing w:after="120"/>
        <w:rPr>
          <w:lang w:val="fr-CA"/>
        </w:rPr>
      </w:pPr>
      <w:r w:rsidRPr="00061CE3">
        <w:rPr>
          <w:b/>
          <w:bCs/>
          <w:lang w:val="fr-CA"/>
        </w:rPr>
        <w:t>Axe principal :</w:t>
      </w:r>
      <w:r w:rsidRPr="00061CE3">
        <w:rPr>
          <w:lang w:val="fr-CA"/>
        </w:rPr>
        <w:t xml:space="preserve"> Cette communauté de pratique intègre l’accessibilité dans la recherche et la conception afin de favoriser des solutions novatrices. Parmi leurs projets, on retrouve :</w:t>
      </w:r>
    </w:p>
    <w:p w14:paraId="63833D6C" w14:textId="2A123D71" w:rsidR="00CD5035" w:rsidRPr="00061CE3" w:rsidRDefault="00CD5035" w:rsidP="00EE5C59">
      <w:pPr>
        <w:pStyle w:val="ListParagraph"/>
        <w:numPr>
          <w:ilvl w:val="0"/>
          <w:numId w:val="10"/>
        </w:numPr>
        <w:spacing w:after="120"/>
        <w:contextualSpacing w:val="0"/>
        <w:rPr>
          <w:lang w:val="fr-CA"/>
        </w:rPr>
      </w:pPr>
      <w:r w:rsidRPr="00061CE3">
        <w:rPr>
          <w:b/>
          <w:bCs/>
          <w:lang w:val="fr-CA"/>
        </w:rPr>
        <w:t>Guide des pratiques de recherche accessibles :</w:t>
      </w:r>
      <w:r w:rsidRPr="00061CE3">
        <w:rPr>
          <w:lang w:val="fr-CA"/>
        </w:rPr>
        <w:t xml:space="preserve"> Ce projet vise à élaborer un guide qui traite des lacunes en matière d’accessibilité dans les pratiques de recherche, y compris la participation des personnes en situation de handicap, l’accessibilité des outils et espaces de recherche, ainsi que les méthodes de communication de la recherche d’une manière accessible.</w:t>
      </w:r>
    </w:p>
    <w:p w14:paraId="5057F349" w14:textId="18CBD040" w:rsidR="00CD5035" w:rsidRPr="00061CE3" w:rsidRDefault="00CD5035" w:rsidP="00EE5C59">
      <w:pPr>
        <w:pStyle w:val="ListParagraph"/>
        <w:numPr>
          <w:ilvl w:val="0"/>
          <w:numId w:val="10"/>
        </w:numPr>
        <w:spacing w:after="120"/>
        <w:contextualSpacing w:val="0"/>
        <w:rPr>
          <w:lang w:val="fr-CA"/>
        </w:rPr>
      </w:pPr>
      <w:r w:rsidRPr="00061CE3">
        <w:rPr>
          <w:b/>
          <w:bCs/>
          <w:lang w:val="fr-CA"/>
        </w:rPr>
        <w:t>Partage des connaissances et de l’information :</w:t>
      </w:r>
      <w:r w:rsidRPr="00061CE3">
        <w:rPr>
          <w:lang w:val="fr-CA"/>
        </w:rPr>
        <w:t xml:space="preserve"> Ce projet vise à améliorer le partage des connaissances sur la recherche, la conception et l’innovation en matière d’accessibilité, en faisant la promotion d’un environnement collaboratif où les membres peuvent apprendre des pratiques existantes sans avoir à réinventer la roue.</w:t>
      </w:r>
    </w:p>
    <w:p w14:paraId="55148567" w14:textId="7BAAA688" w:rsidR="00997438" w:rsidRDefault="00CD5035">
      <w:pPr>
        <w:rPr>
          <w:rFonts w:eastAsia="Helvetica Neue"/>
          <w:b/>
          <w:bCs/>
          <w:color w:val="C00000"/>
          <w:sz w:val="32"/>
          <w:szCs w:val="32"/>
          <w:lang w:val="fr-CA"/>
        </w:rPr>
      </w:pPr>
      <w:r w:rsidRPr="00061CE3">
        <w:rPr>
          <w:lang w:val="fr-CA"/>
        </w:rPr>
        <w:t xml:space="preserve">Chacune de ces communautés de pratique ne se concentre pas seulement sur son domaine particulier, mais contribue activement à un dialogue et à </w:t>
      </w:r>
      <w:proofErr w:type="gramStart"/>
      <w:r w:rsidRPr="00061CE3">
        <w:rPr>
          <w:lang w:val="fr-CA"/>
        </w:rPr>
        <w:t>une action plus larges</w:t>
      </w:r>
      <w:proofErr w:type="gramEnd"/>
      <w:r w:rsidRPr="00061CE3">
        <w:rPr>
          <w:lang w:val="fr-CA"/>
        </w:rPr>
        <w:t xml:space="preserve"> sur l’accessibilité, garantissant ainsi que les efforts du RCA sont complets et ont une réelle incidence.</w:t>
      </w:r>
      <w:bookmarkStart w:id="32" w:name="_Toc166747270"/>
      <w:r w:rsidR="00997438">
        <w:rPr>
          <w:bCs/>
          <w:lang w:val="fr-CA"/>
        </w:rPr>
        <w:br w:type="page"/>
      </w:r>
    </w:p>
    <w:p w14:paraId="015F77B9" w14:textId="6B0C61E5" w:rsidR="00F075D2" w:rsidRPr="00061CE3" w:rsidRDefault="003D0148" w:rsidP="00863441">
      <w:pPr>
        <w:pStyle w:val="Heading1"/>
        <w:spacing w:after="120"/>
        <w:rPr>
          <w:lang w:val="fr-CA"/>
        </w:rPr>
      </w:pPr>
      <w:bookmarkStart w:id="33" w:name="_Toc174366177"/>
      <w:r w:rsidRPr="00061CE3">
        <w:rPr>
          <w:bCs/>
          <w:lang w:val="fr-CA"/>
        </w:rPr>
        <w:lastRenderedPageBreak/>
        <w:t>6.0 Renforcement de l’influence nationale du RCA</w:t>
      </w:r>
      <w:bookmarkEnd w:id="32"/>
      <w:bookmarkEnd w:id="33"/>
    </w:p>
    <w:p w14:paraId="014E7E0D" w14:textId="77777777" w:rsidR="00C36759" w:rsidRPr="00061CE3" w:rsidRDefault="00C36759" w:rsidP="00C36759">
      <w:pPr>
        <w:rPr>
          <w:lang w:val="fr-CA"/>
        </w:rPr>
      </w:pPr>
      <w:r w:rsidRPr="00061CE3">
        <w:rPr>
          <w:lang w:val="fr-CA"/>
        </w:rPr>
        <w:t>Au cours de l’exercice 2023-2024, le Réseau canadien d’accessibilité (RCA) a continué à démontrer son influence nationale en contribuant activement à d’importantes initiatives en matière d’accessibilité. Une initiative notable a été la participation du réseau au Sommet national sur l’accessibilité du transport aérien.</w:t>
      </w:r>
    </w:p>
    <w:p w14:paraId="68305683" w14:textId="77777777" w:rsidR="006C646D" w:rsidRPr="00061CE3" w:rsidRDefault="006C646D" w:rsidP="00C36759">
      <w:pPr>
        <w:rPr>
          <w:lang w:val="fr-CA"/>
        </w:rPr>
      </w:pPr>
    </w:p>
    <w:p w14:paraId="5029056A" w14:textId="4FCD7A96" w:rsidR="006C646D" w:rsidRPr="00061CE3" w:rsidRDefault="006C646D" w:rsidP="006C646D">
      <w:pPr>
        <w:pStyle w:val="Heading2"/>
        <w:rPr>
          <w:lang w:val="fr-CA"/>
        </w:rPr>
      </w:pPr>
      <w:bookmarkStart w:id="34" w:name="_Toc174366178"/>
      <w:r w:rsidRPr="00061CE3">
        <w:rPr>
          <w:bCs/>
          <w:lang w:val="fr-CA"/>
        </w:rPr>
        <w:t xml:space="preserve">6.1 Prise de contact officielle avec la ministre Kamal </w:t>
      </w:r>
      <w:proofErr w:type="spellStart"/>
      <w:r w:rsidRPr="00061CE3">
        <w:rPr>
          <w:bCs/>
          <w:lang w:val="fr-CA"/>
        </w:rPr>
        <w:t>Khera</w:t>
      </w:r>
      <w:bookmarkEnd w:id="34"/>
      <w:proofErr w:type="spellEnd"/>
    </w:p>
    <w:p w14:paraId="306357B2" w14:textId="6C131E2F" w:rsidR="007C114B" w:rsidRPr="00061CE3" w:rsidRDefault="00563D05" w:rsidP="007C114B">
      <w:pPr>
        <w:rPr>
          <w:lang w:val="fr-CA"/>
        </w:rPr>
      </w:pPr>
      <w:r w:rsidRPr="00061CE3">
        <w:rPr>
          <w:lang w:val="fr-CA"/>
        </w:rPr>
        <w:t xml:space="preserve">Le bureau national du RCA a adressé une lettre officielle à la ministre Kamal </w:t>
      </w:r>
      <w:proofErr w:type="spellStart"/>
      <w:r w:rsidRPr="00061CE3">
        <w:rPr>
          <w:lang w:val="fr-CA"/>
        </w:rPr>
        <w:t>Khera</w:t>
      </w:r>
      <w:proofErr w:type="spellEnd"/>
      <w:r w:rsidRPr="00061CE3">
        <w:rPr>
          <w:lang w:val="fr-CA"/>
        </w:rPr>
        <w:t xml:space="preserve"> pour la féliciter de sa nomination au poste de ministre de la Diversité, de l’Inclusion et des Personnes en situation de handicap. La lettre a été signée par Suzanne Blanchard, présidente du conseil de direction du RCA. Aussi, le bureau national du RCA a eu une réunion productive avec l’équipe de la ministre, au cours de laquelle il y a eu un partage d’informations détaillées sur le RCA et le réseau. La réunion s’est conclue par un engagement mutuel à favoriser une relation de collaboration avec la ministre </w:t>
      </w:r>
      <w:proofErr w:type="spellStart"/>
      <w:r w:rsidRPr="00061CE3">
        <w:rPr>
          <w:lang w:val="fr-CA"/>
        </w:rPr>
        <w:t>Khera</w:t>
      </w:r>
      <w:proofErr w:type="spellEnd"/>
      <w:r w:rsidRPr="00061CE3">
        <w:rPr>
          <w:lang w:val="fr-CA"/>
        </w:rPr>
        <w:t xml:space="preserve"> et son équipe, alors que nous continuons à défendre et à faire progresser les initiatives en faveur de l’accessibilité dans tout le Canada.</w:t>
      </w:r>
    </w:p>
    <w:p w14:paraId="6EA072FF" w14:textId="77777777" w:rsidR="009700A9" w:rsidRPr="00061CE3" w:rsidRDefault="009700A9" w:rsidP="007C114B">
      <w:pPr>
        <w:rPr>
          <w:lang w:val="fr-CA"/>
        </w:rPr>
      </w:pPr>
    </w:p>
    <w:p w14:paraId="1A3897F0" w14:textId="116D013A" w:rsidR="00C36759" w:rsidRPr="00061CE3" w:rsidRDefault="009700A9" w:rsidP="00E22CC7">
      <w:pPr>
        <w:pStyle w:val="Heading2"/>
        <w:rPr>
          <w:lang w:val="fr-CA"/>
        </w:rPr>
      </w:pPr>
      <w:bookmarkStart w:id="35" w:name="_Toc166747271"/>
      <w:bookmarkStart w:id="36" w:name="_Toc174366179"/>
      <w:r w:rsidRPr="00061CE3">
        <w:rPr>
          <w:bCs/>
          <w:lang w:val="fr-CA"/>
        </w:rPr>
        <w:t>6.2 Contribution du Réseau canadien d’accessibilité au Sommet national sur l’accessibilité du transport aérien</w:t>
      </w:r>
      <w:bookmarkEnd w:id="35"/>
      <w:bookmarkEnd w:id="36"/>
    </w:p>
    <w:p w14:paraId="6E1FB6E7" w14:textId="55FD8E38" w:rsidR="00E91F6B" w:rsidRPr="00061CE3" w:rsidRDefault="00E91F6B" w:rsidP="00E91F6B">
      <w:pPr>
        <w:rPr>
          <w:lang w:val="fr-CA"/>
        </w:rPr>
      </w:pPr>
      <w:r w:rsidRPr="00061CE3">
        <w:rPr>
          <w:lang w:val="fr-CA"/>
        </w:rPr>
        <w:t xml:space="preserve">Avant la tenue du Sommet, la communauté de pratique du RCA sur les politiques a rédigé une lettre détaillée présentant des recommandations visant à améliorer l’inclusivité dans le transport aérien. Cette lettre a été envoyée, le 7 mai 2024, à l’honorable Pablo Rodriguez, ministre des Transports, et à l’honorable Kamal </w:t>
      </w:r>
      <w:proofErr w:type="spellStart"/>
      <w:r w:rsidRPr="00061CE3">
        <w:rPr>
          <w:lang w:val="fr-CA"/>
        </w:rPr>
        <w:t>Khera</w:t>
      </w:r>
      <w:proofErr w:type="spellEnd"/>
      <w:r w:rsidRPr="00061CE3">
        <w:rPr>
          <w:lang w:val="fr-CA"/>
        </w:rPr>
        <w:t xml:space="preserve">, ministre de la Diversité, de l’Inclusion et des Personnes en situation de handicap. La lettre a été signée par la présidente du conseil de direction, Suzanne Blanchard. </w:t>
      </w:r>
    </w:p>
    <w:p w14:paraId="297E333A" w14:textId="77777777" w:rsidR="00E91F6B" w:rsidRPr="00061CE3" w:rsidRDefault="00E91F6B" w:rsidP="006B2AD8">
      <w:pPr>
        <w:spacing w:before="240" w:after="120"/>
        <w:rPr>
          <w:b/>
          <w:bCs/>
          <w:lang w:val="fr-CA"/>
        </w:rPr>
      </w:pPr>
      <w:r w:rsidRPr="00061CE3">
        <w:rPr>
          <w:b/>
          <w:bCs/>
          <w:lang w:val="fr-CA"/>
        </w:rPr>
        <w:t>Réponse des cabinets des ministres</w:t>
      </w:r>
    </w:p>
    <w:p w14:paraId="697FFF66" w14:textId="77777777" w:rsidR="00E91F6B" w:rsidRPr="00061CE3" w:rsidRDefault="00E91F6B" w:rsidP="00B56E58">
      <w:pPr>
        <w:spacing w:after="240"/>
      </w:pPr>
      <w:r w:rsidRPr="00061CE3">
        <w:rPr>
          <w:lang w:val="fr-CA"/>
        </w:rPr>
        <w:t>Le RCA a reçu une réponse positive de la part de l’équipe chargée de l’accessibilité au sein de Transports Canada, qui nous a remerciés pour notre contribution et a reconnu la valeur de nos recommandations. La réponse a mis en lumière les points suivants :</w:t>
      </w:r>
    </w:p>
    <w:p w14:paraId="6E75E942" w14:textId="77777777" w:rsidR="00E91F6B" w:rsidRPr="00061CE3" w:rsidRDefault="00E91F6B" w:rsidP="00B56E58">
      <w:pPr>
        <w:pStyle w:val="ListParagraph"/>
        <w:numPr>
          <w:ilvl w:val="0"/>
          <w:numId w:val="11"/>
        </w:numPr>
        <w:spacing w:after="120"/>
        <w:contextualSpacing w:val="0"/>
        <w:rPr>
          <w:lang w:val="fr-CA"/>
        </w:rPr>
      </w:pPr>
      <w:r w:rsidRPr="00061CE3">
        <w:rPr>
          <w:lang w:val="fr-CA"/>
        </w:rPr>
        <w:t>Gratitude pour l’engagement du RCA en faveur de l’inclusion.</w:t>
      </w:r>
    </w:p>
    <w:p w14:paraId="3C8276D2" w14:textId="77777777" w:rsidR="00E91F6B" w:rsidRPr="00061CE3" w:rsidRDefault="00E91F6B" w:rsidP="00B56E58">
      <w:pPr>
        <w:pStyle w:val="ListParagraph"/>
        <w:numPr>
          <w:ilvl w:val="0"/>
          <w:numId w:val="11"/>
        </w:numPr>
        <w:spacing w:after="120"/>
        <w:contextualSpacing w:val="0"/>
        <w:rPr>
          <w:lang w:val="fr-CA"/>
        </w:rPr>
      </w:pPr>
      <w:r w:rsidRPr="00061CE3">
        <w:rPr>
          <w:lang w:val="fr-CA"/>
        </w:rPr>
        <w:t>Reconnaissance de l’importance de nos contributions au Sommet.</w:t>
      </w:r>
    </w:p>
    <w:p w14:paraId="74153B37" w14:textId="77777777" w:rsidR="00E91F6B" w:rsidRPr="00061CE3" w:rsidRDefault="00E91F6B" w:rsidP="00B56E58">
      <w:pPr>
        <w:pStyle w:val="ListParagraph"/>
        <w:numPr>
          <w:ilvl w:val="0"/>
          <w:numId w:val="11"/>
        </w:numPr>
        <w:spacing w:after="120"/>
        <w:contextualSpacing w:val="0"/>
        <w:rPr>
          <w:lang w:val="fr-CA"/>
        </w:rPr>
      </w:pPr>
      <w:r w:rsidRPr="00061CE3">
        <w:rPr>
          <w:lang w:val="fr-CA"/>
        </w:rPr>
        <w:t>Confiance dans la capacité à obtenir des résultats significatifs et durables grâce à la collaboration.</w:t>
      </w:r>
    </w:p>
    <w:p w14:paraId="3F9644CB" w14:textId="77777777" w:rsidR="00B56E58" w:rsidRDefault="00B56E58">
      <w:pPr>
        <w:rPr>
          <w:b/>
          <w:bCs/>
          <w:lang w:val="fr-CA"/>
        </w:rPr>
      </w:pPr>
      <w:bookmarkStart w:id="37" w:name="_Toc166747272"/>
      <w:r>
        <w:rPr>
          <w:b/>
          <w:bCs/>
          <w:lang w:val="fr-CA"/>
        </w:rPr>
        <w:br w:type="page"/>
      </w:r>
    </w:p>
    <w:p w14:paraId="62BF39D2" w14:textId="13ABC44C" w:rsidR="00E22CC7" w:rsidRPr="00061CE3" w:rsidRDefault="00E91F6B" w:rsidP="006B2AD8">
      <w:pPr>
        <w:spacing w:before="240" w:after="120"/>
        <w:rPr>
          <w:b/>
          <w:bCs/>
          <w:lang w:val="fr-CA"/>
        </w:rPr>
      </w:pPr>
      <w:r w:rsidRPr="00061CE3">
        <w:rPr>
          <w:b/>
          <w:bCs/>
          <w:lang w:val="fr-CA"/>
        </w:rPr>
        <w:lastRenderedPageBreak/>
        <w:t>Participation du RCA au Sommet national sur l’accessibilité du transport aérien</w:t>
      </w:r>
      <w:bookmarkEnd w:id="37"/>
    </w:p>
    <w:p w14:paraId="597D864E" w14:textId="77777777" w:rsidR="00EA7A15" w:rsidRPr="00061CE3" w:rsidRDefault="00EA7A15" w:rsidP="00EA7A15">
      <w:pPr>
        <w:rPr>
          <w:lang w:val="fr-CA"/>
        </w:rPr>
      </w:pPr>
      <w:r w:rsidRPr="00061CE3">
        <w:rPr>
          <w:lang w:val="fr-CA"/>
        </w:rPr>
        <w:t>Julie Caldwell et Mastoor Al </w:t>
      </w:r>
      <w:proofErr w:type="spellStart"/>
      <w:r w:rsidRPr="00061CE3">
        <w:rPr>
          <w:lang w:val="fr-CA"/>
        </w:rPr>
        <w:t>Kaboody</w:t>
      </w:r>
      <w:proofErr w:type="spellEnd"/>
      <w:r w:rsidRPr="00061CE3">
        <w:rPr>
          <w:lang w:val="fr-CA"/>
        </w:rPr>
        <w:t xml:space="preserve"> du bureau national du RCA ont représenté le RCA au premier Sommet national sur l’accessibilité du transport aérien, qui s’est tenu le 9 mai 2024 à Ottawa. Cet événement important, organisé par le ministre des Transports, l’honorable Pablo Rodriguez, et la ministre de la Diversité, de l’Inclusion et des Personnes en situation de handicap, l’honorable Kamal </w:t>
      </w:r>
      <w:proofErr w:type="spellStart"/>
      <w:r w:rsidRPr="00061CE3">
        <w:rPr>
          <w:lang w:val="fr-CA"/>
        </w:rPr>
        <w:t>Khera</w:t>
      </w:r>
      <w:proofErr w:type="spellEnd"/>
      <w:r w:rsidRPr="00061CE3">
        <w:rPr>
          <w:lang w:val="fr-CA"/>
        </w:rPr>
        <w:t>, a rassemblé diverses parties prenantes pour aborder les questions essentielles relatives à l’accessibilité dans le secteur du transport aérien au Canada.</w:t>
      </w:r>
    </w:p>
    <w:p w14:paraId="6506E3ED" w14:textId="21E750E7" w:rsidR="00EA7A15" w:rsidRPr="00061CE3" w:rsidRDefault="00EA7A15" w:rsidP="00B56E58">
      <w:pPr>
        <w:spacing w:before="240"/>
        <w:rPr>
          <w:b/>
          <w:bCs/>
          <w:lang w:val="fr-CA"/>
        </w:rPr>
      </w:pPr>
      <w:bookmarkStart w:id="38" w:name="_Toc166747273"/>
      <w:r w:rsidRPr="00061CE3">
        <w:rPr>
          <w:b/>
          <w:bCs/>
          <w:lang w:val="fr-CA"/>
        </w:rPr>
        <w:t>Points forts du Sommet</w:t>
      </w:r>
      <w:bookmarkEnd w:id="38"/>
    </w:p>
    <w:p w14:paraId="3AF98138" w14:textId="77777777" w:rsidR="00A02A80" w:rsidRPr="00061CE3" w:rsidRDefault="00A02A80" w:rsidP="00B56E58">
      <w:pPr>
        <w:spacing w:before="240" w:after="240"/>
      </w:pPr>
      <w:r w:rsidRPr="00061CE3">
        <w:rPr>
          <w:lang w:val="fr-CA"/>
        </w:rPr>
        <w:t>Le sommet a été un moment décisif pour faire progresser l’accessibilité des transports aériens. Il s’est concentré sur trois objectifs principaux :</w:t>
      </w:r>
    </w:p>
    <w:p w14:paraId="10DF0B3A" w14:textId="77777777" w:rsidR="00A02A80" w:rsidRPr="00061CE3" w:rsidRDefault="00A02A80" w:rsidP="00B56E58">
      <w:pPr>
        <w:pStyle w:val="ListParagraph"/>
        <w:numPr>
          <w:ilvl w:val="0"/>
          <w:numId w:val="12"/>
        </w:numPr>
        <w:spacing w:after="120"/>
        <w:contextualSpacing w:val="0"/>
        <w:rPr>
          <w:lang w:val="fr-CA"/>
        </w:rPr>
      </w:pPr>
      <w:r w:rsidRPr="00061CE3">
        <w:rPr>
          <w:lang w:val="fr-CA"/>
        </w:rPr>
        <w:t>Débattre des questions d’actualité : Les participant(e)s se sont engagé(e)s dans des discussions approfondies sur les défis auxquels sont confronté(e)s les passager(ère)s en situation de handicap, qu’il s’agisse d’obstacles physiques ou de services inadéquats.</w:t>
      </w:r>
    </w:p>
    <w:p w14:paraId="57BE674B" w14:textId="77777777" w:rsidR="00A02A80" w:rsidRPr="00061CE3" w:rsidRDefault="00A02A80" w:rsidP="00B56E58">
      <w:pPr>
        <w:pStyle w:val="ListParagraph"/>
        <w:numPr>
          <w:ilvl w:val="0"/>
          <w:numId w:val="12"/>
        </w:numPr>
        <w:spacing w:after="120"/>
        <w:contextualSpacing w:val="0"/>
        <w:rPr>
          <w:lang w:val="fr-CA"/>
        </w:rPr>
      </w:pPr>
      <w:r w:rsidRPr="00061CE3">
        <w:rPr>
          <w:lang w:val="fr-CA"/>
        </w:rPr>
        <w:t>Trouver des solutions : Des réflexions ont été menées en collaboration afin de proposer des solutions réalisables à court et à long terme pour résoudre ces problèmes persistants. Il s’agit notamment de l’adoption d’un formulaire médical commun pour simplifier le voyage des passager(ère)s en situation de handicap et améliorer le processus de partage des données entre les compagnies aériennes et les autres parties prenantes afin de mieux repérer les problèmes d’accessibilité et de les résoudre.</w:t>
      </w:r>
    </w:p>
    <w:p w14:paraId="3E8D7D11" w14:textId="6C155457" w:rsidR="00A02A80" w:rsidRPr="00061CE3" w:rsidRDefault="00A02A80" w:rsidP="00B56E58">
      <w:pPr>
        <w:pStyle w:val="ListParagraph"/>
        <w:numPr>
          <w:ilvl w:val="0"/>
          <w:numId w:val="12"/>
        </w:numPr>
        <w:spacing w:after="120"/>
        <w:contextualSpacing w:val="0"/>
        <w:rPr>
          <w:lang w:val="fr-CA"/>
        </w:rPr>
      </w:pPr>
      <w:r w:rsidRPr="00061CE3">
        <w:rPr>
          <w:rFonts w:cs="Times New Roman"/>
          <w:lang w:val="fr-CA"/>
        </w:rPr>
        <w:t>S’engager en faveur d’un cadre de responsabilité partagée : Le Conseil national des lignes aériennes du Canada (CNLA) a souligné la nécessité d’un modèle de responsabilité partagée, garantissant que toutes les entités de l’écosystème de l’aviation respectent les normes de service et fournissent des informations en temps réel sur les interruptions de service. Ce cadre comprend la collecte de données sur les rendements et les vérifications de conformité effectuées par l’Office des transports du Canada (OTC)</w:t>
      </w:r>
      <w:r w:rsidRPr="00061CE3">
        <w:rPr>
          <w:rFonts w:ascii="Times New Roman" w:hAnsi="Times New Roman" w:cs="Times New Roman"/>
          <w:lang w:val="fr-CA"/>
        </w:rPr>
        <w:t>.</w:t>
      </w:r>
    </w:p>
    <w:p w14:paraId="15345FA6" w14:textId="77777777" w:rsidR="00B56E58" w:rsidRDefault="00B56E58">
      <w:pPr>
        <w:rPr>
          <w:b/>
          <w:bCs/>
          <w:lang w:val="fr-CA"/>
        </w:rPr>
      </w:pPr>
      <w:bookmarkStart w:id="39" w:name="_Toc166747274"/>
      <w:r>
        <w:rPr>
          <w:b/>
          <w:bCs/>
          <w:lang w:val="fr-CA"/>
        </w:rPr>
        <w:br w:type="page"/>
      </w:r>
    </w:p>
    <w:p w14:paraId="7E0A72BC" w14:textId="70FC2C17" w:rsidR="00EA7A15" w:rsidRPr="00061CE3" w:rsidRDefault="00FD07E7" w:rsidP="00B56E58">
      <w:pPr>
        <w:spacing w:before="240"/>
        <w:rPr>
          <w:b/>
          <w:bCs/>
          <w:lang w:val="fr-CA"/>
        </w:rPr>
      </w:pPr>
      <w:r w:rsidRPr="00061CE3">
        <w:rPr>
          <w:b/>
          <w:bCs/>
          <w:lang w:val="fr-CA"/>
        </w:rPr>
        <w:lastRenderedPageBreak/>
        <w:t>Rôle et contributions du RCA au Sommet</w:t>
      </w:r>
      <w:bookmarkEnd w:id="39"/>
    </w:p>
    <w:p w14:paraId="774DEF06" w14:textId="2E8A12BA" w:rsidR="009061A3" w:rsidRPr="00061CE3" w:rsidRDefault="009061A3" w:rsidP="00804099">
      <w:pPr>
        <w:spacing w:before="240" w:after="240"/>
      </w:pPr>
      <w:r w:rsidRPr="00061CE3">
        <w:rPr>
          <w:lang w:val="fr-CA"/>
        </w:rPr>
        <w:t>La participation du RCA au Sommet était axée sur le réseautage et la représentation. Le Sommet était l’occasion pour le RCA de :</w:t>
      </w:r>
    </w:p>
    <w:p w14:paraId="03D7C1B4" w14:textId="77777777" w:rsidR="009061A3" w:rsidRPr="00061CE3" w:rsidRDefault="009061A3" w:rsidP="00804099">
      <w:pPr>
        <w:pStyle w:val="ListParagraph"/>
        <w:numPr>
          <w:ilvl w:val="0"/>
          <w:numId w:val="13"/>
        </w:numPr>
        <w:spacing w:after="120"/>
        <w:contextualSpacing w:val="0"/>
        <w:rPr>
          <w:lang w:val="fr-CA"/>
        </w:rPr>
      </w:pPr>
      <w:r w:rsidRPr="00061CE3">
        <w:rPr>
          <w:b/>
          <w:bCs/>
          <w:lang w:val="fr-CA"/>
        </w:rPr>
        <w:t>Créer des liens et des réseaux :</w:t>
      </w:r>
      <w:r w:rsidRPr="00061CE3">
        <w:rPr>
          <w:lang w:val="fr-CA"/>
        </w:rPr>
        <w:t xml:space="preserve"> Le RCA a établi et renforcé des relations avec les principales parties prenantes, notamment les compagnies aériennes et les décideur(</w:t>
      </w:r>
      <w:proofErr w:type="spellStart"/>
      <w:r w:rsidRPr="00061CE3">
        <w:rPr>
          <w:lang w:val="fr-CA"/>
        </w:rPr>
        <w:t>euse</w:t>
      </w:r>
      <w:proofErr w:type="spellEnd"/>
      <w:r w:rsidRPr="00061CE3">
        <w:rPr>
          <w:lang w:val="fr-CA"/>
        </w:rPr>
        <w:t>)s du secteur des transports.</w:t>
      </w:r>
    </w:p>
    <w:p w14:paraId="072EC812" w14:textId="77777777" w:rsidR="009061A3" w:rsidRPr="00061CE3" w:rsidRDefault="009061A3" w:rsidP="00804099">
      <w:pPr>
        <w:pStyle w:val="ListParagraph"/>
        <w:numPr>
          <w:ilvl w:val="0"/>
          <w:numId w:val="13"/>
        </w:numPr>
        <w:spacing w:after="120"/>
        <w:contextualSpacing w:val="0"/>
        <w:rPr>
          <w:lang w:val="fr-CA"/>
        </w:rPr>
      </w:pPr>
      <w:r w:rsidRPr="00061CE3">
        <w:rPr>
          <w:b/>
          <w:bCs/>
          <w:lang w:val="fr-CA"/>
        </w:rPr>
        <w:t>Assurer la représentation :</w:t>
      </w:r>
      <w:r w:rsidRPr="00061CE3">
        <w:rPr>
          <w:lang w:val="fr-CA"/>
        </w:rPr>
        <w:t xml:space="preserve"> Le RCA a veillé à être reconnu comme faisant partie intégrante des discussions sur l’accessibilité, renforçant ainsi son engagement à promouvoir l’accessibilité au Canada.</w:t>
      </w:r>
    </w:p>
    <w:p w14:paraId="29DFEBE9" w14:textId="77777777" w:rsidR="005B412A" w:rsidRPr="00061CE3" w:rsidRDefault="009061A3" w:rsidP="00804099">
      <w:pPr>
        <w:pStyle w:val="ListParagraph"/>
        <w:numPr>
          <w:ilvl w:val="0"/>
          <w:numId w:val="13"/>
        </w:numPr>
        <w:spacing w:after="120"/>
        <w:contextualSpacing w:val="0"/>
        <w:rPr>
          <w:lang w:val="fr-CA"/>
        </w:rPr>
      </w:pPr>
      <w:r w:rsidRPr="00061CE3">
        <w:rPr>
          <w:b/>
          <w:bCs/>
          <w:lang w:val="fr-CA"/>
        </w:rPr>
        <w:t>Planifier des collaborations futures :</w:t>
      </w:r>
      <w:r w:rsidRPr="00061CE3">
        <w:rPr>
          <w:lang w:val="fr-CA"/>
        </w:rPr>
        <w:t xml:space="preserve"> Le RCA a discuté avec les parties prenantes pour planifier des collaborations actuelles et futures visant à faire progresser l’accessibilité dans le secteur du transport aérien.</w:t>
      </w:r>
      <w:bookmarkStart w:id="40" w:name="_Toc166747275"/>
    </w:p>
    <w:p w14:paraId="55707427" w14:textId="558BE71B" w:rsidR="00930636" w:rsidRPr="00061CE3" w:rsidRDefault="00BE6F67" w:rsidP="00804099">
      <w:pPr>
        <w:pStyle w:val="ListParagraph"/>
        <w:numPr>
          <w:ilvl w:val="0"/>
          <w:numId w:val="13"/>
        </w:numPr>
        <w:spacing w:after="120"/>
        <w:contextualSpacing w:val="0"/>
        <w:rPr>
          <w:b/>
          <w:bCs/>
          <w:lang w:val="fr-CA"/>
        </w:rPr>
      </w:pPr>
      <w:r w:rsidRPr="00061CE3">
        <w:rPr>
          <w:b/>
          <w:bCs/>
          <w:lang w:val="fr-CA"/>
        </w:rPr>
        <w:t>Rencontrer la dirigeante principale de l’accessibilité du Canada</w:t>
      </w:r>
      <w:bookmarkEnd w:id="40"/>
      <w:r w:rsidRPr="00061CE3">
        <w:rPr>
          <w:b/>
          <w:bCs/>
          <w:lang w:val="fr-CA"/>
        </w:rPr>
        <w:t xml:space="preserve"> : </w:t>
      </w:r>
      <w:r w:rsidRPr="00061CE3">
        <w:rPr>
          <w:lang w:val="fr-CA"/>
        </w:rPr>
        <w:t>L’équipe du bureau national du RCA a eu une brève réunion avec Stéphanie Cadieux, la dirigeante principale de l’accessibilité du Canada, ainsi que son équipe. Lors de cette réunion, Mme Cadieux a confirmé sa participation en tant que conférencière principale à la réunion d’affaires du RCA de décembre, renforçant ainsi les efforts de collaboration entre le Réseau et les principales parties prenantes du gouvernement pour faire progresser les initiatives en matière d’accessibilité à travers le Canada.</w:t>
      </w:r>
    </w:p>
    <w:p w14:paraId="647FC8E6" w14:textId="77777777" w:rsidR="00752E1B" w:rsidRPr="00061CE3" w:rsidRDefault="00752E1B">
      <w:pPr>
        <w:rPr>
          <w:rFonts w:eastAsia="Helvetica Neue"/>
          <w:b/>
          <w:color w:val="C00000"/>
          <w:sz w:val="32"/>
          <w:szCs w:val="32"/>
          <w:lang w:val="fr-CA"/>
        </w:rPr>
      </w:pPr>
      <w:bookmarkStart w:id="41" w:name="_Toc166747279"/>
      <w:bookmarkStart w:id="42" w:name="_Toc1885101008"/>
      <w:r w:rsidRPr="00061CE3">
        <w:rPr>
          <w:lang w:val="fr-CA"/>
        </w:rPr>
        <w:br w:type="page"/>
      </w:r>
    </w:p>
    <w:p w14:paraId="35C18DEB" w14:textId="4C75F689" w:rsidR="00E617FD" w:rsidRPr="00061CE3" w:rsidRDefault="005B412A" w:rsidP="00E617FD">
      <w:pPr>
        <w:pStyle w:val="Heading1"/>
        <w:rPr>
          <w:lang w:val="fr-CA"/>
        </w:rPr>
      </w:pPr>
      <w:bookmarkStart w:id="43" w:name="_Toc174366180"/>
      <w:r w:rsidRPr="00061CE3">
        <w:rPr>
          <w:bCs/>
          <w:lang w:val="fr-CA"/>
        </w:rPr>
        <w:lastRenderedPageBreak/>
        <w:t>7.0 Partage des connaissances et des pratiques exemplaires</w:t>
      </w:r>
      <w:bookmarkEnd w:id="41"/>
      <w:bookmarkEnd w:id="42"/>
      <w:bookmarkEnd w:id="43"/>
    </w:p>
    <w:p w14:paraId="5D6E360E" w14:textId="74353B4E" w:rsidR="00E617FD" w:rsidRPr="00061CE3" w:rsidRDefault="005B412A" w:rsidP="00E617FD">
      <w:pPr>
        <w:pStyle w:val="Heading2"/>
        <w:rPr>
          <w:lang w:val="fr-CA"/>
        </w:rPr>
      </w:pPr>
      <w:bookmarkStart w:id="44" w:name="_Toc166747280"/>
      <w:bookmarkStart w:id="45" w:name="_Toc174366181"/>
      <w:r w:rsidRPr="00061CE3">
        <w:rPr>
          <w:bCs/>
          <w:lang w:val="fr-CA"/>
        </w:rPr>
        <w:t>7.1 Forums Se connecter du RCA</w:t>
      </w:r>
      <w:bookmarkEnd w:id="44"/>
      <w:bookmarkEnd w:id="45"/>
      <w:r w:rsidRPr="00061CE3">
        <w:rPr>
          <w:bCs/>
          <w:lang w:val="fr-CA"/>
        </w:rPr>
        <w:t xml:space="preserve"> </w:t>
      </w:r>
    </w:p>
    <w:p w14:paraId="681C8E13" w14:textId="5E00E391" w:rsidR="00E617FD" w:rsidRPr="00061CE3" w:rsidRDefault="00E617FD" w:rsidP="00E617FD">
      <w:pPr>
        <w:rPr>
          <w:lang w:val="fr-CA"/>
        </w:rPr>
      </w:pPr>
      <w:r w:rsidRPr="00061CE3">
        <w:rPr>
          <w:lang w:val="fr-CA"/>
        </w:rPr>
        <w:t xml:space="preserve">Les forums Se connecter du RCA sont des événements qui offrent aux membres du RCA l’occasion de créer des réseaux, d’en apprendre davantage sur le travail de chacun(e), d’échanger des pratiques exemplaires et d’établir des liens entre différentes régions et différents secteurs. Six forums Se connecter du RCA ont eu lieu durant l’exercice 2023-2024, avec à chaque fois une belle participation (au total, 1 001 personnes y ont participé) accompagnée de commentaires positifs. </w:t>
      </w:r>
    </w:p>
    <w:p w14:paraId="2A836AAF" w14:textId="77777777" w:rsidR="00E617FD" w:rsidRPr="00061CE3" w:rsidRDefault="00E617FD" w:rsidP="00E617FD">
      <w:pPr>
        <w:rPr>
          <w:highlight w:val="yellow"/>
          <w:lang w:val="fr-CA"/>
        </w:rPr>
      </w:pPr>
    </w:p>
    <w:p w14:paraId="4B5C5406" w14:textId="77777777" w:rsidR="002658E8" w:rsidRPr="00061CE3" w:rsidRDefault="002658E8" w:rsidP="009B45A9">
      <w:pPr>
        <w:rPr>
          <w:b/>
          <w:bCs/>
          <w:lang w:val="fr-CA"/>
        </w:rPr>
      </w:pPr>
      <w:r w:rsidRPr="00061CE3">
        <w:rPr>
          <w:b/>
          <w:bCs/>
          <w:lang w:val="fr-CA"/>
        </w:rPr>
        <w:t>20 juin 2023 – Les voies du changement : Perspectives autochtones sur l’accessibilité et le handicap</w:t>
      </w:r>
    </w:p>
    <w:p w14:paraId="79C0EB7D" w14:textId="632713FB" w:rsidR="002658E8" w:rsidRPr="00061CE3" w:rsidRDefault="009066A7" w:rsidP="00B05DD3">
      <w:pPr>
        <w:spacing w:before="120"/>
        <w:rPr>
          <w:lang w:val="fr-CA"/>
        </w:rPr>
      </w:pPr>
      <w:r w:rsidRPr="00061CE3">
        <w:rPr>
          <w:lang w:val="fr-CA"/>
        </w:rPr>
        <w:t>Ce forum a été l’occasion de sensibiliser aux obstacles et aux réalités uniques auxquels sont confrontées les personnes autochtones en situation de handicap, et ce, dans l’espoir d’explorer la manière dont nous pouvons œuvrer à la réconciliation et prendre des mesures pour construire des sociétés plus inclusives qui célèbrent et soutiennent les membres des communautés autochtones en situation de handicap.</w:t>
      </w:r>
    </w:p>
    <w:p w14:paraId="02E630E1" w14:textId="77777777" w:rsidR="009066A7" w:rsidRPr="00061CE3" w:rsidRDefault="009066A7" w:rsidP="009066A7">
      <w:pPr>
        <w:spacing w:after="160" w:line="259" w:lineRule="auto"/>
        <w:ind w:left="720"/>
        <w:contextualSpacing/>
        <w:rPr>
          <w:b/>
          <w:lang w:val="fr-CA"/>
        </w:rPr>
      </w:pPr>
    </w:p>
    <w:p w14:paraId="791722C7" w14:textId="12D4A5B8" w:rsidR="002658E8" w:rsidRPr="00061CE3" w:rsidRDefault="002658E8" w:rsidP="009066A7">
      <w:pPr>
        <w:rPr>
          <w:b/>
          <w:bCs/>
          <w:lang w:val="fr-CA"/>
        </w:rPr>
      </w:pPr>
      <w:r w:rsidRPr="00061CE3">
        <w:rPr>
          <w:b/>
          <w:bCs/>
          <w:lang w:val="fr-CA"/>
        </w:rPr>
        <w:t>26 octobre 2023 – Transports accessibles au Canada</w:t>
      </w:r>
    </w:p>
    <w:p w14:paraId="57BC714D" w14:textId="053BBB1A" w:rsidR="002658E8" w:rsidRPr="00061CE3" w:rsidRDefault="009066A7" w:rsidP="00B05DD3">
      <w:pPr>
        <w:spacing w:before="120"/>
        <w:rPr>
          <w:lang w:val="fr-CA"/>
        </w:rPr>
      </w:pPr>
      <w:r w:rsidRPr="00061CE3">
        <w:rPr>
          <w:lang w:val="fr-CA"/>
        </w:rPr>
        <w:t>La séance « Transports accessibles au Canada » a offert un aperçu des initiatives et des recherches en cours qui visent à améliorer les options de transport inclusives et équitables au Canada.</w:t>
      </w:r>
    </w:p>
    <w:p w14:paraId="318967A2" w14:textId="77777777" w:rsidR="009066A7" w:rsidRPr="00061CE3" w:rsidRDefault="009066A7" w:rsidP="009066A7">
      <w:pPr>
        <w:spacing w:after="160" w:line="259" w:lineRule="auto"/>
        <w:ind w:left="720"/>
        <w:contextualSpacing/>
        <w:rPr>
          <w:b/>
          <w:lang w:val="fr-CA"/>
        </w:rPr>
      </w:pPr>
    </w:p>
    <w:p w14:paraId="73536EA3" w14:textId="1E0499B5" w:rsidR="002658E8" w:rsidRPr="00061CE3" w:rsidRDefault="002658E8" w:rsidP="009066A7">
      <w:pPr>
        <w:rPr>
          <w:b/>
          <w:bCs/>
          <w:lang w:val="fr-CA"/>
        </w:rPr>
      </w:pPr>
      <w:r w:rsidRPr="00061CE3">
        <w:rPr>
          <w:b/>
          <w:bCs/>
          <w:lang w:val="fr-CA"/>
        </w:rPr>
        <w:t>14 novembre 2023 – L’entrepreneuriat au Canada : Points de vue de personnes en situation de handicap</w:t>
      </w:r>
    </w:p>
    <w:p w14:paraId="39D7B16F" w14:textId="753A9627" w:rsidR="002658E8" w:rsidRPr="00061CE3" w:rsidRDefault="009066A7" w:rsidP="00B05DD3">
      <w:pPr>
        <w:spacing w:before="120"/>
        <w:rPr>
          <w:lang w:val="fr-CA"/>
        </w:rPr>
      </w:pPr>
      <w:r w:rsidRPr="00061CE3">
        <w:rPr>
          <w:lang w:val="fr-CA"/>
        </w:rPr>
        <w:t xml:space="preserve">À l’occasion de la Semaine mondiale de l’entrepreneuriat de 2023, le Réseau canadien de l’accessibilité (RCA), en collaboration avec les chefs de file canadien(ne)s du Programme d’aide aux entrepreneurs ayant une incapacité (PAEI), a organisé une table ronde pour partager des idées sur le travail autonome en tant que voie accessible aux personnes en situation de handicap, en se concentrant sur les expériences vécues par </w:t>
      </w:r>
      <w:proofErr w:type="gramStart"/>
      <w:r w:rsidRPr="00061CE3">
        <w:rPr>
          <w:lang w:val="fr-CA"/>
        </w:rPr>
        <w:t>les entrepreneur</w:t>
      </w:r>
      <w:proofErr w:type="gramEnd"/>
      <w:r w:rsidRPr="00061CE3">
        <w:rPr>
          <w:lang w:val="fr-CA"/>
        </w:rPr>
        <w:t>(</w:t>
      </w:r>
      <w:proofErr w:type="spellStart"/>
      <w:r w:rsidRPr="00061CE3">
        <w:rPr>
          <w:lang w:val="fr-CA"/>
        </w:rPr>
        <w:t>euse</w:t>
      </w:r>
      <w:proofErr w:type="spellEnd"/>
      <w:r w:rsidRPr="00061CE3">
        <w:rPr>
          <w:lang w:val="fr-CA"/>
        </w:rPr>
        <w:t>)s canadien(ne)s.</w:t>
      </w:r>
    </w:p>
    <w:p w14:paraId="3D0FB14B" w14:textId="77777777" w:rsidR="009066A7" w:rsidRPr="00061CE3" w:rsidRDefault="009066A7" w:rsidP="009066A7">
      <w:pPr>
        <w:spacing w:after="160" w:line="259" w:lineRule="auto"/>
        <w:contextualSpacing/>
        <w:rPr>
          <w:b/>
          <w:lang w:val="fr-CA"/>
        </w:rPr>
      </w:pPr>
    </w:p>
    <w:p w14:paraId="22BEB9A8" w14:textId="62FA72B7" w:rsidR="002658E8" w:rsidRPr="00061CE3" w:rsidRDefault="002658E8" w:rsidP="009066A7">
      <w:pPr>
        <w:rPr>
          <w:b/>
          <w:bCs/>
          <w:lang w:val="fr-CA"/>
        </w:rPr>
      </w:pPr>
      <w:r w:rsidRPr="00061CE3">
        <w:rPr>
          <w:b/>
          <w:bCs/>
          <w:lang w:val="fr-CA"/>
        </w:rPr>
        <w:t>26 mars 2024 – Parcours vers la pleine confiance : L’accessibilité au service de la réussite collective</w:t>
      </w:r>
    </w:p>
    <w:p w14:paraId="358AE17C" w14:textId="304F1319" w:rsidR="002658E8" w:rsidRPr="00061CE3" w:rsidRDefault="007A38FC" w:rsidP="00B05DD3">
      <w:pPr>
        <w:spacing w:before="120"/>
        <w:rPr>
          <w:lang w:val="fr-CA"/>
        </w:rPr>
      </w:pPr>
      <w:r w:rsidRPr="00061CE3">
        <w:rPr>
          <w:lang w:val="fr-CA"/>
        </w:rPr>
        <w:t>Animée par Tony </w:t>
      </w:r>
      <w:proofErr w:type="spellStart"/>
      <w:r w:rsidRPr="00061CE3">
        <w:rPr>
          <w:lang w:val="fr-CA"/>
        </w:rPr>
        <w:t>Labillois</w:t>
      </w:r>
      <w:proofErr w:type="spellEnd"/>
      <w:r w:rsidRPr="00061CE3">
        <w:rPr>
          <w:lang w:val="fr-CA"/>
        </w:rPr>
        <w:t>, président du Conseil consultatif du RCA, cette table ronde a été organisée conjointement par le Réseau canadien d’accessibilité (RCA) et Statistique Canada pour souligner l’incidence de l’accessibilité sur les expériences individuelles et la réussite collective.</w:t>
      </w:r>
    </w:p>
    <w:p w14:paraId="4F63881C" w14:textId="77777777" w:rsidR="009066A7" w:rsidRPr="00061CE3" w:rsidRDefault="009066A7" w:rsidP="009066A7">
      <w:pPr>
        <w:spacing w:after="160" w:line="259" w:lineRule="auto"/>
        <w:contextualSpacing/>
        <w:rPr>
          <w:b/>
          <w:lang w:val="fr-CA"/>
        </w:rPr>
      </w:pPr>
    </w:p>
    <w:p w14:paraId="2BF91F73" w14:textId="40E29464" w:rsidR="002658E8" w:rsidRPr="00061CE3" w:rsidRDefault="002658E8" w:rsidP="009066A7">
      <w:pPr>
        <w:rPr>
          <w:b/>
          <w:bCs/>
          <w:lang w:val="fr-CA"/>
        </w:rPr>
      </w:pPr>
      <w:r w:rsidRPr="00061CE3">
        <w:rPr>
          <w:b/>
          <w:bCs/>
          <w:lang w:val="fr-CA"/>
        </w:rPr>
        <w:lastRenderedPageBreak/>
        <w:t>23 avril 2024 – La collaboration, le mentorat et l’échange de connaissances comme facteurs cruciaux pour les personnes en situation de handicap</w:t>
      </w:r>
    </w:p>
    <w:p w14:paraId="7D92EF40" w14:textId="3EAA7EAF" w:rsidR="002658E8" w:rsidRPr="00061CE3" w:rsidRDefault="009066A7" w:rsidP="00B05DD3">
      <w:pPr>
        <w:spacing w:before="120"/>
        <w:rPr>
          <w:lang w:val="fr-CA"/>
        </w:rPr>
      </w:pPr>
      <w:r w:rsidRPr="00061CE3">
        <w:rPr>
          <w:lang w:val="fr-CA"/>
        </w:rPr>
        <w:t>Ce forum a mis en évidence l’importance de l’échange de connaissances et des réseaux de soutien dans le secteur de l’accessibilité. Ce panel a discuté d’exemples concrets de création d’occasions de collaboration et de mentorat et d’établissement de liens afin d’avoir un impact significatif sur la communauté.</w:t>
      </w:r>
    </w:p>
    <w:p w14:paraId="6B54F397" w14:textId="77777777" w:rsidR="009066A7" w:rsidRPr="00061CE3" w:rsidRDefault="009066A7" w:rsidP="009066A7">
      <w:pPr>
        <w:spacing w:after="160" w:line="259" w:lineRule="auto"/>
        <w:contextualSpacing/>
        <w:rPr>
          <w:b/>
          <w:lang w:val="fr-CA"/>
        </w:rPr>
      </w:pPr>
    </w:p>
    <w:p w14:paraId="08F16D61" w14:textId="02B816F2" w:rsidR="002658E8" w:rsidRPr="00061CE3" w:rsidRDefault="002658E8" w:rsidP="009066A7">
      <w:pPr>
        <w:rPr>
          <w:rFonts w:ascii="Gotham Narrow SSm B" w:hAnsi="Gotham Narrow SSm B"/>
          <w:b/>
          <w:bCs/>
          <w:color w:val="313131"/>
          <w:lang w:val="fr-CA"/>
        </w:rPr>
      </w:pPr>
      <w:r w:rsidRPr="00061CE3">
        <w:rPr>
          <w:b/>
          <w:bCs/>
          <w:lang w:val="fr-CA"/>
        </w:rPr>
        <w:t>14 mai 2024 – La recherche sur l’accessibilité aujourd’hui et demain</w:t>
      </w:r>
    </w:p>
    <w:p w14:paraId="6E67B2CC" w14:textId="3A47A398" w:rsidR="00E617FD" w:rsidRPr="00061CE3" w:rsidRDefault="009066A7" w:rsidP="00B05DD3">
      <w:pPr>
        <w:spacing w:before="120"/>
        <w:rPr>
          <w:lang w:val="fr-CA"/>
        </w:rPr>
      </w:pPr>
      <w:r w:rsidRPr="00061CE3">
        <w:rPr>
          <w:lang w:val="fr-CA"/>
        </w:rPr>
        <w:t>Les panélistes ont partagé leurs expériences et les résultats de projets de recherche terminés et en cours, avant de discuter de futurs domaines d’étude qui mettent en évidence l’évolution de la recherche sur l’accessibilité ainsi que son apport.</w:t>
      </w:r>
    </w:p>
    <w:p w14:paraId="730AD3AE" w14:textId="77777777" w:rsidR="009066A7" w:rsidRPr="00061CE3" w:rsidRDefault="009066A7" w:rsidP="009066A7">
      <w:pPr>
        <w:rPr>
          <w:highlight w:val="yellow"/>
          <w:lang w:val="fr-CA"/>
        </w:rPr>
      </w:pPr>
    </w:p>
    <w:p w14:paraId="1B433E56" w14:textId="696AFC3D" w:rsidR="00E617FD" w:rsidRPr="00061CE3" w:rsidRDefault="00E617FD" w:rsidP="00E617FD">
      <w:pPr>
        <w:rPr>
          <w:lang w:val="fr-CA"/>
        </w:rPr>
      </w:pPr>
      <w:r w:rsidRPr="00061CE3">
        <w:rPr>
          <w:lang w:val="fr-CA"/>
        </w:rPr>
        <w:t xml:space="preserve">Les forums sont ouverts au public et les membres du RCA sont vivement encouragé(e)s à y participer. Pour plus d’informations sur les forums Se connecter du RCA, pour accéder aux enregistrements des séances passées et pour connaître nos événements à venir, consultez la page des </w:t>
      </w:r>
      <w:hyperlink r:id="rId12" w:history="1">
        <w:r w:rsidRPr="00061CE3">
          <w:rPr>
            <w:color w:val="0563C1"/>
            <w:u w:val="single"/>
            <w:lang w:val="fr-CA"/>
          </w:rPr>
          <w:t xml:space="preserve">événements du RCA </w:t>
        </w:r>
        <w:r w:rsidRPr="00061CE3">
          <w:rPr>
            <w:color w:val="0563C1"/>
            <w:lang w:val="fr-CA"/>
          </w:rPr>
          <w:t>(en anglais)</w:t>
        </w:r>
      </w:hyperlink>
      <w:r w:rsidRPr="00061CE3">
        <w:rPr>
          <w:lang w:val="fr-CA"/>
        </w:rPr>
        <w:t>.</w:t>
      </w:r>
    </w:p>
    <w:p w14:paraId="491AEA18" w14:textId="77777777" w:rsidR="000551B9" w:rsidRPr="00061CE3" w:rsidRDefault="000551B9" w:rsidP="00E617FD">
      <w:pPr>
        <w:rPr>
          <w:lang w:val="fr-CA"/>
        </w:rPr>
      </w:pPr>
    </w:p>
    <w:p w14:paraId="3FF713D2" w14:textId="1793EC11" w:rsidR="00661413" w:rsidRPr="00061CE3" w:rsidRDefault="005B412A" w:rsidP="00661413">
      <w:pPr>
        <w:pStyle w:val="Heading1"/>
        <w:rPr>
          <w:lang w:val="fr-CA"/>
        </w:rPr>
      </w:pPr>
      <w:bookmarkStart w:id="46" w:name="_Toc166747281"/>
      <w:bookmarkStart w:id="47" w:name="_Toc2073592908"/>
      <w:bookmarkStart w:id="48" w:name="_Toc174366182"/>
      <w:r w:rsidRPr="00061CE3">
        <w:rPr>
          <w:bCs/>
          <w:lang w:val="fr-CA"/>
        </w:rPr>
        <w:t>8.0 Établissement de liens et coordination des efforts</w:t>
      </w:r>
      <w:bookmarkEnd w:id="46"/>
      <w:bookmarkEnd w:id="47"/>
      <w:bookmarkEnd w:id="48"/>
    </w:p>
    <w:p w14:paraId="5A7C99C4" w14:textId="118E796D" w:rsidR="00661413" w:rsidRPr="00061CE3" w:rsidRDefault="005B412A" w:rsidP="00661413">
      <w:pPr>
        <w:pStyle w:val="Heading2"/>
        <w:rPr>
          <w:lang w:val="fr-CA"/>
        </w:rPr>
      </w:pPr>
      <w:bookmarkStart w:id="49" w:name="_Toc166747282"/>
      <w:bookmarkStart w:id="50" w:name="_Toc174366183"/>
      <w:r w:rsidRPr="00061CE3">
        <w:rPr>
          <w:bCs/>
          <w:lang w:val="fr-CA"/>
        </w:rPr>
        <w:t>8.1 Bulletin du RCA</w:t>
      </w:r>
      <w:bookmarkEnd w:id="49"/>
      <w:bookmarkEnd w:id="50"/>
    </w:p>
    <w:p w14:paraId="02CE90CF" w14:textId="6E7CA26B" w:rsidR="00661413" w:rsidRPr="00061CE3" w:rsidRDefault="00661413" w:rsidP="00E617FD">
      <w:pPr>
        <w:rPr>
          <w:lang w:val="fr-CA"/>
        </w:rPr>
      </w:pPr>
      <w:r w:rsidRPr="00061CE3">
        <w:rPr>
          <w:lang w:val="fr-CA"/>
        </w:rPr>
        <w:t>Le RCA continue de publier son bulletin électronique tous les deux mois depuis mai 2023. Six bulletins du RCA ont été publiés durant l’exercice 2023-2024 afin de diffuser des informations sur les événements à venir, les activités à découvrir, les nouvelles, et les possibilités d’apprentissage et de consultation offertes dans le domaine de l’accessibilité partout au Canada. La liste de distribution du bulletin compte présentement 900 </w:t>
      </w:r>
      <w:proofErr w:type="gramStart"/>
      <w:r w:rsidRPr="00061CE3">
        <w:rPr>
          <w:lang w:val="fr-CA"/>
        </w:rPr>
        <w:t>abonné</w:t>
      </w:r>
      <w:proofErr w:type="gramEnd"/>
      <w:r w:rsidRPr="00061CE3">
        <w:rPr>
          <w:lang w:val="fr-CA"/>
        </w:rPr>
        <w:t>(e)s.</w:t>
      </w:r>
    </w:p>
    <w:p w14:paraId="3B7AB2BD" w14:textId="77777777" w:rsidR="00752E1B" w:rsidRPr="00061CE3" w:rsidRDefault="00752E1B">
      <w:pPr>
        <w:rPr>
          <w:rFonts w:eastAsia="Helvetica Neue"/>
          <w:b/>
          <w:color w:val="C00000"/>
          <w:sz w:val="32"/>
          <w:szCs w:val="32"/>
          <w:lang w:val="fr-CA"/>
        </w:rPr>
      </w:pPr>
      <w:bookmarkStart w:id="51" w:name="_Toc166747283"/>
      <w:r w:rsidRPr="00061CE3">
        <w:rPr>
          <w:lang w:val="fr-CA"/>
        </w:rPr>
        <w:br w:type="page"/>
      </w:r>
    </w:p>
    <w:p w14:paraId="2C5118B5" w14:textId="39062308" w:rsidR="00661413" w:rsidRPr="00061CE3" w:rsidRDefault="005B412A" w:rsidP="00661413">
      <w:pPr>
        <w:pStyle w:val="Heading1"/>
        <w:rPr>
          <w:lang w:val="fr-CA"/>
        </w:rPr>
      </w:pPr>
      <w:bookmarkStart w:id="52" w:name="_Toc174366184"/>
      <w:r w:rsidRPr="00061CE3">
        <w:rPr>
          <w:bCs/>
          <w:lang w:val="fr-CA"/>
        </w:rPr>
        <w:lastRenderedPageBreak/>
        <w:t>9.0 Le RCA en chiffres</w:t>
      </w:r>
      <w:bookmarkEnd w:id="51"/>
      <w:bookmarkEnd w:id="52"/>
    </w:p>
    <w:p w14:paraId="3833BDD0" w14:textId="3D2DA0D4" w:rsidR="00661413" w:rsidRPr="00061CE3" w:rsidRDefault="005B412A" w:rsidP="00661413">
      <w:pPr>
        <w:pStyle w:val="Heading2"/>
        <w:rPr>
          <w:lang w:val="fr-CA"/>
        </w:rPr>
      </w:pPr>
      <w:bookmarkStart w:id="53" w:name="_Toc166747284"/>
      <w:bookmarkStart w:id="54" w:name="_Toc174366185"/>
      <w:r w:rsidRPr="00061CE3">
        <w:rPr>
          <w:bCs/>
          <w:lang w:val="fr-CA"/>
        </w:rPr>
        <w:t>9.1 Faits saillants de l’exercice 2023-2024</w:t>
      </w:r>
      <w:bookmarkEnd w:id="53"/>
      <w:bookmarkEnd w:id="54"/>
    </w:p>
    <w:p w14:paraId="3BD08102" w14:textId="5C855BE6" w:rsidR="00F676F6" w:rsidRPr="00061CE3" w:rsidRDefault="00F676F6" w:rsidP="009A5D6A">
      <w:pPr>
        <w:pStyle w:val="ListParagraph"/>
        <w:numPr>
          <w:ilvl w:val="0"/>
          <w:numId w:val="17"/>
        </w:numPr>
        <w:spacing w:line="240" w:lineRule="auto"/>
        <w:rPr>
          <w:lang w:val="fr-CA"/>
        </w:rPr>
      </w:pPr>
      <w:r w:rsidRPr="00061CE3">
        <w:rPr>
          <w:lang w:val="fr-CA"/>
        </w:rPr>
        <w:t>107 organisations collaboratrices au RCA (dont 35 nouvelles collaborations)</w:t>
      </w:r>
    </w:p>
    <w:p w14:paraId="1F7A0483" w14:textId="5C909DE2" w:rsidR="00082A7D" w:rsidRPr="00061CE3" w:rsidRDefault="00D736AC" w:rsidP="00082A7D">
      <w:pPr>
        <w:pStyle w:val="ListParagraph"/>
        <w:numPr>
          <w:ilvl w:val="0"/>
          <w:numId w:val="17"/>
        </w:numPr>
        <w:spacing w:line="240" w:lineRule="auto"/>
        <w:rPr>
          <w:lang w:val="fr-CA"/>
        </w:rPr>
      </w:pPr>
      <w:r w:rsidRPr="00061CE3">
        <w:rPr>
          <w:lang w:val="fr-CA"/>
        </w:rPr>
        <w:t>214 membres et expert(e)s individuel(le)s du RCA</w:t>
      </w:r>
    </w:p>
    <w:p w14:paraId="48F1F7E0" w14:textId="601BE3AC" w:rsidR="00F676F6" w:rsidRPr="00061CE3" w:rsidRDefault="00F676F6" w:rsidP="009A5D6A">
      <w:pPr>
        <w:pStyle w:val="ListParagraph"/>
        <w:numPr>
          <w:ilvl w:val="0"/>
          <w:numId w:val="17"/>
        </w:numPr>
        <w:spacing w:line="240" w:lineRule="auto"/>
        <w:rPr>
          <w:lang w:val="fr-CA"/>
        </w:rPr>
      </w:pPr>
      <w:r w:rsidRPr="00061CE3">
        <w:rPr>
          <w:lang w:val="fr-CA"/>
        </w:rPr>
        <w:t>34 types distincts de mesures d’accommodement au sein du Réseau</w:t>
      </w:r>
    </w:p>
    <w:p w14:paraId="05BF3787" w14:textId="77777777" w:rsidR="00F676F6" w:rsidRPr="00061CE3" w:rsidRDefault="00F676F6" w:rsidP="009A5D6A">
      <w:pPr>
        <w:pStyle w:val="ListParagraph"/>
        <w:numPr>
          <w:ilvl w:val="0"/>
          <w:numId w:val="17"/>
        </w:numPr>
        <w:spacing w:line="240" w:lineRule="auto"/>
        <w:rPr>
          <w:lang w:val="fr-CA"/>
        </w:rPr>
      </w:pPr>
      <w:r w:rsidRPr="00061CE3">
        <w:rPr>
          <w:lang w:val="fr-CA"/>
        </w:rPr>
        <w:t>10 langues différentes parlées au sein du Réseau</w:t>
      </w:r>
    </w:p>
    <w:p w14:paraId="221B73ED" w14:textId="54BF33AA" w:rsidR="009B5B4B" w:rsidRPr="00061CE3" w:rsidRDefault="00F676F6" w:rsidP="009B5B4B">
      <w:pPr>
        <w:pStyle w:val="ListParagraph"/>
        <w:numPr>
          <w:ilvl w:val="0"/>
          <w:numId w:val="18"/>
        </w:numPr>
        <w:spacing w:line="240" w:lineRule="auto"/>
        <w:rPr>
          <w:lang w:val="fr-CA"/>
        </w:rPr>
      </w:pPr>
      <w:r w:rsidRPr="00061CE3">
        <w:rPr>
          <w:lang w:val="fr-CA"/>
        </w:rPr>
        <w:t>71 membres qui ont une expérience vécue (dont 33 % s’identifient comme ayant une expérience vécue de handicap visible ou non visible)</w:t>
      </w:r>
    </w:p>
    <w:p w14:paraId="55F55183" w14:textId="01AE37EA" w:rsidR="00F676F6" w:rsidRPr="00061CE3" w:rsidRDefault="00F676F6" w:rsidP="009A5D6A">
      <w:pPr>
        <w:pStyle w:val="ListParagraph"/>
        <w:numPr>
          <w:ilvl w:val="0"/>
          <w:numId w:val="17"/>
        </w:numPr>
        <w:spacing w:line="240" w:lineRule="auto"/>
        <w:rPr>
          <w:lang w:val="fr-CA"/>
        </w:rPr>
      </w:pPr>
      <w:r w:rsidRPr="00061CE3">
        <w:rPr>
          <w:lang w:val="fr-CA"/>
        </w:rPr>
        <w:t>35 réunions du RCA (conseil consultatif, conseil de direction, communautés de pratiques, codirection)</w:t>
      </w:r>
    </w:p>
    <w:p w14:paraId="3F44F8D7" w14:textId="6F052563" w:rsidR="00F676F6" w:rsidRPr="00061CE3" w:rsidRDefault="00E91A80" w:rsidP="009A5D6A">
      <w:pPr>
        <w:pStyle w:val="ListParagraph"/>
        <w:numPr>
          <w:ilvl w:val="0"/>
          <w:numId w:val="17"/>
        </w:numPr>
        <w:spacing w:line="240" w:lineRule="auto"/>
      </w:pPr>
      <w:r w:rsidRPr="00061CE3">
        <w:rPr>
          <w:lang w:val="fr-CA"/>
        </w:rPr>
        <w:t>6 forums Se connecter du RCA</w:t>
      </w:r>
    </w:p>
    <w:p w14:paraId="540B194F" w14:textId="64C6B34C" w:rsidR="00F676F6" w:rsidRPr="00061CE3" w:rsidRDefault="00F676F6" w:rsidP="009A5D6A">
      <w:pPr>
        <w:pStyle w:val="ListParagraph"/>
        <w:numPr>
          <w:ilvl w:val="0"/>
          <w:numId w:val="17"/>
        </w:numPr>
        <w:spacing w:line="240" w:lineRule="auto"/>
        <w:rPr>
          <w:lang w:val="fr-CA"/>
        </w:rPr>
      </w:pPr>
      <w:r w:rsidRPr="00061CE3">
        <w:rPr>
          <w:lang w:val="fr-CA"/>
        </w:rPr>
        <w:t>1 001 inscriptions aux forums Se connecter du RCA</w:t>
      </w:r>
    </w:p>
    <w:p w14:paraId="53057316" w14:textId="4A725BC7" w:rsidR="00661413" w:rsidRDefault="00F676F6" w:rsidP="009A5D6A">
      <w:pPr>
        <w:pStyle w:val="ListParagraph"/>
        <w:numPr>
          <w:ilvl w:val="0"/>
          <w:numId w:val="17"/>
        </w:numPr>
        <w:spacing w:line="240" w:lineRule="auto"/>
        <w:rPr>
          <w:lang w:val="fr-CA"/>
        </w:rPr>
      </w:pPr>
      <w:r w:rsidRPr="00061CE3">
        <w:rPr>
          <w:lang w:val="fr-CA"/>
        </w:rPr>
        <w:t>913 </w:t>
      </w:r>
      <w:proofErr w:type="gramStart"/>
      <w:r w:rsidRPr="00061CE3">
        <w:rPr>
          <w:lang w:val="fr-CA"/>
        </w:rPr>
        <w:t>abonné</w:t>
      </w:r>
      <w:proofErr w:type="gramEnd"/>
      <w:r w:rsidRPr="00061CE3">
        <w:rPr>
          <w:lang w:val="fr-CA"/>
        </w:rPr>
        <w:t>(e)s au bulletin du RCA</w:t>
      </w:r>
    </w:p>
    <w:p w14:paraId="4D754CC9" w14:textId="1D842163" w:rsidR="00B85310" w:rsidRPr="00061CE3" w:rsidRDefault="00B85310" w:rsidP="00B85310">
      <w:pPr>
        <w:pStyle w:val="Heading2"/>
        <w:rPr>
          <w:lang w:val="fr-CA"/>
        </w:rPr>
      </w:pPr>
      <w:bookmarkStart w:id="55" w:name="_Toc174366186"/>
      <w:r w:rsidRPr="00061CE3">
        <w:rPr>
          <w:bCs/>
          <w:lang w:val="fr-CA"/>
        </w:rPr>
        <w:t>9.</w:t>
      </w:r>
      <w:r w:rsidR="007762E5">
        <w:rPr>
          <w:bCs/>
          <w:lang w:val="fr-CA"/>
        </w:rPr>
        <w:t>2</w:t>
      </w:r>
      <w:r w:rsidRPr="00061CE3">
        <w:rPr>
          <w:bCs/>
          <w:lang w:val="fr-CA"/>
        </w:rPr>
        <w:t xml:space="preserve"> </w:t>
      </w:r>
      <w:r w:rsidR="007762E5">
        <w:rPr>
          <w:bCs/>
          <w:lang w:val="fr-CA"/>
        </w:rPr>
        <w:t>Lieu</w:t>
      </w:r>
      <w:bookmarkEnd w:id="55"/>
    </w:p>
    <w:p w14:paraId="343D1A9F" w14:textId="28EC6851" w:rsidR="00645109" w:rsidRPr="00061CE3" w:rsidRDefault="003C3A68" w:rsidP="000C4203">
      <w:pPr>
        <w:spacing w:line="240" w:lineRule="auto"/>
        <w:rPr>
          <w:lang w:val="fr-CA"/>
        </w:rPr>
      </w:pPr>
      <w:r w:rsidRPr="00061CE3">
        <w:rPr>
          <w:lang w:val="fr-CA"/>
        </w:rPr>
        <w:t>Le RCA est représenté dans huit provinces et un territoire du Canada. Le tableau ci-dessous fournit une ventilation complète du nombre de collaborateur(</w:t>
      </w:r>
      <w:proofErr w:type="spellStart"/>
      <w:r w:rsidRPr="00061CE3">
        <w:rPr>
          <w:lang w:val="fr-CA"/>
        </w:rPr>
        <w:t>rice</w:t>
      </w:r>
      <w:proofErr w:type="spellEnd"/>
      <w:r w:rsidRPr="00061CE3">
        <w:rPr>
          <w:lang w:val="fr-CA"/>
        </w:rPr>
        <w:t>)s du RCA et de membres individuels dans chacune de ces régions.</w:t>
      </w:r>
    </w:p>
    <w:p w14:paraId="66BAA5F0" w14:textId="77777777" w:rsidR="003C3A68" w:rsidRPr="00061CE3" w:rsidRDefault="003C3A68" w:rsidP="000C4203">
      <w:pPr>
        <w:spacing w:line="240" w:lineRule="auto"/>
        <w:rPr>
          <w:lang w:val="fr-CA"/>
        </w:rPr>
      </w:pPr>
    </w:p>
    <w:tbl>
      <w:tblPr>
        <w:tblStyle w:val="TableGrid"/>
        <w:tblW w:w="7660" w:type="dxa"/>
        <w:tblInd w:w="725" w:type="dxa"/>
        <w:tblLook w:val="04A0" w:firstRow="1" w:lastRow="0" w:firstColumn="1" w:lastColumn="0" w:noHBand="0" w:noVBand="1"/>
      </w:tblPr>
      <w:tblGrid>
        <w:gridCol w:w="3240"/>
        <w:gridCol w:w="4420"/>
      </w:tblGrid>
      <w:tr w:rsidR="00FA0856" w:rsidRPr="00B777B2" w14:paraId="69E22746" w14:textId="77777777" w:rsidTr="00444960">
        <w:trPr>
          <w:trHeight w:val="285"/>
        </w:trPr>
        <w:tc>
          <w:tcPr>
            <w:tcW w:w="3240" w:type="dxa"/>
            <w:shd w:val="clear" w:color="auto" w:fill="F2F2F2" w:themeFill="background1" w:themeFillShade="F2"/>
            <w:noWrap/>
            <w:hideMark/>
          </w:tcPr>
          <w:p w14:paraId="29D820D5" w14:textId="77777777" w:rsidR="00FA0856" w:rsidRPr="00061CE3" w:rsidRDefault="00FA0856" w:rsidP="00FA0856">
            <w:pPr>
              <w:rPr>
                <w:b/>
                <w:bCs/>
              </w:rPr>
            </w:pPr>
            <w:r w:rsidRPr="00061CE3">
              <w:rPr>
                <w:b/>
                <w:bCs/>
                <w:lang w:val="fr-CA"/>
              </w:rPr>
              <w:t>Province/Territoire</w:t>
            </w:r>
          </w:p>
        </w:tc>
        <w:tc>
          <w:tcPr>
            <w:tcW w:w="4420" w:type="dxa"/>
            <w:shd w:val="clear" w:color="auto" w:fill="F2F2F2" w:themeFill="background1" w:themeFillShade="F2"/>
            <w:noWrap/>
            <w:hideMark/>
          </w:tcPr>
          <w:p w14:paraId="63706511" w14:textId="299DCBAB" w:rsidR="00FA0856" w:rsidRPr="00061CE3" w:rsidRDefault="00FA0856" w:rsidP="00FA0856">
            <w:pPr>
              <w:jc w:val="center"/>
              <w:rPr>
                <w:b/>
                <w:bCs/>
                <w:lang w:val="fr-CA"/>
              </w:rPr>
            </w:pPr>
            <w:r w:rsidRPr="00061CE3">
              <w:rPr>
                <w:b/>
                <w:bCs/>
                <w:lang w:val="fr-CA"/>
              </w:rPr>
              <w:t>Nombre de collaborateur(</w:t>
            </w:r>
            <w:proofErr w:type="spellStart"/>
            <w:r w:rsidRPr="00061CE3">
              <w:rPr>
                <w:b/>
                <w:bCs/>
                <w:lang w:val="fr-CA"/>
              </w:rPr>
              <w:t>rice</w:t>
            </w:r>
            <w:proofErr w:type="spellEnd"/>
            <w:r w:rsidRPr="00061CE3">
              <w:rPr>
                <w:b/>
                <w:bCs/>
                <w:lang w:val="fr-CA"/>
              </w:rPr>
              <w:t xml:space="preserve">)s et de membres du RCA </w:t>
            </w:r>
          </w:p>
        </w:tc>
      </w:tr>
      <w:tr w:rsidR="00FA0856" w:rsidRPr="00061CE3" w14:paraId="7D8ECAAD" w14:textId="77777777" w:rsidTr="00444960">
        <w:trPr>
          <w:trHeight w:val="285"/>
        </w:trPr>
        <w:tc>
          <w:tcPr>
            <w:tcW w:w="3240" w:type="dxa"/>
            <w:noWrap/>
            <w:hideMark/>
          </w:tcPr>
          <w:p w14:paraId="24098A10" w14:textId="77777777" w:rsidR="00FA0856" w:rsidRPr="00061CE3" w:rsidRDefault="00FA0856" w:rsidP="00FA0856">
            <w:pPr>
              <w:rPr>
                <w:b/>
                <w:bCs/>
              </w:rPr>
            </w:pPr>
            <w:r w:rsidRPr="00061CE3">
              <w:rPr>
                <w:lang w:val="fr-CA"/>
              </w:rPr>
              <w:t>Alberta</w:t>
            </w:r>
          </w:p>
        </w:tc>
        <w:tc>
          <w:tcPr>
            <w:tcW w:w="4420" w:type="dxa"/>
            <w:noWrap/>
            <w:hideMark/>
          </w:tcPr>
          <w:p w14:paraId="1D02554A" w14:textId="77777777" w:rsidR="00FA0856" w:rsidRPr="00061CE3" w:rsidRDefault="00FA0856" w:rsidP="00FA0856">
            <w:pPr>
              <w:jc w:val="center"/>
            </w:pPr>
            <w:r w:rsidRPr="00061CE3">
              <w:rPr>
                <w:lang w:val="fr-CA"/>
              </w:rPr>
              <w:t>9</w:t>
            </w:r>
          </w:p>
        </w:tc>
      </w:tr>
      <w:tr w:rsidR="00FA0856" w:rsidRPr="00061CE3" w14:paraId="2F456928" w14:textId="77777777" w:rsidTr="00444960">
        <w:trPr>
          <w:trHeight w:val="285"/>
        </w:trPr>
        <w:tc>
          <w:tcPr>
            <w:tcW w:w="3240" w:type="dxa"/>
            <w:noWrap/>
            <w:hideMark/>
          </w:tcPr>
          <w:p w14:paraId="6A024409" w14:textId="77777777" w:rsidR="00FA0856" w:rsidRPr="00061CE3" w:rsidRDefault="00FA0856" w:rsidP="00FA0856">
            <w:pPr>
              <w:rPr>
                <w:b/>
                <w:bCs/>
              </w:rPr>
            </w:pPr>
            <w:r w:rsidRPr="00061CE3">
              <w:rPr>
                <w:lang w:val="fr-CA"/>
              </w:rPr>
              <w:t>Colombie-Britannique</w:t>
            </w:r>
          </w:p>
        </w:tc>
        <w:tc>
          <w:tcPr>
            <w:tcW w:w="4420" w:type="dxa"/>
            <w:noWrap/>
            <w:hideMark/>
          </w:tcPr>
          <w:p w14:paraId="73F8EA67" w14:textId="77777777" w:rsidR="00FA0856" w:rsidRPr="00061CE3" w:rsidRDefault="00FA0856" w:rsidP="00FA0856">
            <w:pPr>
              <w:jc w:val="center"/>
            </w:pPr>
            <w:r w:rsidRPr="00061CE3">
              <w:rPr>
                <w:lang w:val="fr-CA"/>
              </w:rPr>
              <w:t>19</w:t>
            </w:r>
          </w:p>
        </w:tc>
      </w:tr>
      <w:tr w:rsidR="00FA0856" w:rsidRPr="00061CE3" w14:paraId="05371894" w14:textId="77777777" w:rsidTr="00444960">
        <w:trPr>
          <w:trHeight w:val="285"/>
        </w:trPr>
        <w:tc>
          <w:tcPr>
            <w:tcW w:w="3240" w:type="dxa"/>
            <w:noWrap/>
            <w:hideMark/>
          </w:tcPr>
          <w:p w14:paraId="14DFE133" w14:textId="77777777" w:rsidR="00FA0856" w:rsidRPr="00061CE3" w:rsidRDefault="00FA0856" w:rsidP="00FA0856">
            <w:pPr>
              <w:rPr>
                <w:b/>
                <w:bCs/>
              </w:rPr>
            </w:pPr>
            <w:r w:rsidRPr="00061CE3">
              <w:rPr>
                <w:lang w:val="fr-CA"/>
              </w:rPr>
              <w:t>Manitoba</w:t>
            </w:r>
          </w:p>
        </w:tc>
        <w:tc>
          <w:tcPr>
            <w:tcW w:w="4420" w:type="dxa"/>
            <w:noWrap/>
            <w:hideMark/>
          </w:tcPr>
          <w:p w14:paraId="6BCF27CF" w14:textId="77777777" w:rsidR="00FA0856" w:rsidRPr="00061CE3" w:rsidRDefault="00FA0856" w:rsidP="00FA0856">
            <w:pPr>
              <w:jc w:val="center"/>
            </w:pPr>
            <w:r w:rsidRPr="00061CE3">
              <w:rPr>
                <w:lang w:val="fr-CA"/>
              </w:rPr>
              <w:t>6</w:t>
            </w:r>
          </w:p>
        </w:tc>
      </w:tr>
      <w:tr w:rsidR="00FA0856" w:rsidRPr="00061CE3" w14:paraId="1C716F06" w14:textId="77777777" w:rsidTr="00444960">
        <w:trPr>
          <w:trHeight w:val="285"/>
        </w:trPr>
        <w:tc>
          <w:tcPr>
            <w:tcW w:w="3240" w:type="dxa"/>
            <w:noWrap/>
            <w:hideMark/>
          </w:tcPr>
          <w:p w14:paraId="2DB69A4B" w14:textId="77777777" w:rsidR="00FA0856" w:rsidRPr="00061CE3" w:rsidRDefault="00FA0856" w:rsidP="00FA0856">
            <w:pPr>
              <w:rPr>
                <w:b/>
                <w:bCs/>
              </w:rPr>
            </w:pPr>
            <w:r w:rsidRPr="00061CE3">
              <w:rPr>
                <w:lang w:val="fr-CA"/>
              </w:rPr>
              <w:t>Nouveau-Brunswick</w:t>
            </w:r>
          </w:p>
        </w:tc>
        <w:tc>
          <w:tcPr>
            <w:tcW w:w="4420" w:type="dxa"/>
            <w:noWrap/>
            <w:hideMark/>
          </w:tcPr>
          <w:p w14:paraId="5149EF62" w14:textId="77777777" w:rsidR="00FA0856" w:rsidRPr="00061CE3" w:rsidRDefault="00FA0856" w:rsidP="00FA0856">
            <w:pPr>
              <w:jc w:val="center"/>
            </w:pPr>
            <w:r w:rsidRPr="00061CE3">
              <w:rPr>
                <w:lang w:val="fr-CA"/>
              </w:rPr>
              <w:t>4</w:t>
            </w:r>
          </w:p>
        </w:tc>
      </w:tr>
      <w:tr w:rsidR="00FA0856" w:rsidRPr="00061CE3" w14:paraId="23AD0418" w14:textId="77777777" w:rsidTr="00444960">
        <w:trPr>
          <w:trHeight w:val="285"/>
        </w:trPr>
        <w:tc>
          <w:tcPr>
            <w:tcW w:w="3240" w:type="dxa"/>
            <w:noWrap/>
            <w:hideMark/>
          </w:tcPr>
          <w:p w14:paraId="46BD0CA6" w14:textId="77777777" w:rsidR="00FA0856" w:rsidRPr="00061CE3" w:rsidRDefault="00FA0856" w:rsidP="00FA0856">
            <w:pPr>
              <w:rPr>
                <w:b/>
                <w:bCs/>
              </w:rPr>
            </w:pPr>
            <w:r w:rsidRPr="00061CE3">
              <w:rPr>
                <w:lang w:val="fr-CA"/>
              </w:rPr>
              <w:t>Nouvelle-Écosse</w:t>
            </w:r>
          </w:p>
        </w:tc>
        <w:tc>
          <w:tcPr>
            <w:tcW w:w="4420" w:type="dxa"/>
            <w:noWrap/>
            <w:hideMark/>
          </w:tcPr>
          <w:p w14:paraId="5D9B237B" w14:textId="77777777" w:rsidR="00FA0856" w:rsidRPr="00061CE3" w:rsidRDefault="00FA0856" w:rsidP="00FA0856">
            <w:pPr>
              <w:jc w:val="center"/>
            </w:pPr>
            <w:r w:rsidRPr="00061CE3">
              <w:rPr>
                <w:lang w:val="fr-CA"/>
              </w:rPr>
              <w:t>20</w:t>
            </w:r>
          </w:p>
        </w:tc>
      </w:tr>
      <w:tr w:rsidR="00FA0856" w:rsidRPr="00061CE3" w14:paraId="5CD00596" w14:textId="77777777" w:rsidTr="00444960">
        <w:trPr>
          <w:trHeight w:val="285"/>
        </w:trPr>
        <w:tc>
          <w:tcPr>
            <w:tcW w:w="3240" w:type="dxa"/>
            <w:noWrap/>
            <w:hideMark/>
          </w:tcPr>
          <w:p w14:paraId="3F82E177" w14:textId="77777777" w:rsidR="00FA0856" w:rsidRPr="00061CE3" w:rsidRDefault="00FA0856" w:rsidP="00FA0856">
            <w:pPr>
              <w:rPr>
                <w:b/>
                <w:bCs/>
              </w:rPr>
            </w:pPr>
            <w:r w:rsidRPr="00061CE3">
              <w:rPr>
                <w:lang w:val="fr-CA"/>
              </w:rPr>
              <w:t>Nunavut</w:t>
            </w:r>
          </w:p>
        </w:tc>
        <w:tc>
          <w:tcPr>
            <w:tcW w:w="4420" w:type="dxa"/>
            <w:noWrap/>
            <w:hideMark/>
          </w:tcPr>
          <w:p w14:paraId="1B10566B" w14:textId="77777777" w:rsidR="00FA0856" w:rsidRPr="00061CE3" w:rsidRDefault="00FA0856" w:rsidP="00FA0856">
            <w:pPr>
              <w:jc w:val="center"/>
            </w:pPr>
            <w:r w:rsidRPr="00061CE3">
              <w:rPr>
                <w:lang w:val="fr-CA"/>
              </w:rPr>
              <w:t>1</w:t>
            </w:r>
          </w:p>
        </w:tc>
      </w:tr>
      <w:tr w:rsidR="00FA0856" w:rsidRPr="00061CE3" w14:paraId="13E4A5C2" w14:textId="77777777" w:rsidTr="00444960">
        <w:trPr>
          <w:trHeight w:val="285"/>
        </w:trPr>
        <w:tc>
          <w:tcPr>
            <w:tcW w:w="3240" w:type="dxa"/>
            <w:noWrap/>
            <w:hideMark/>
          </w:tcPr>
          <w:p w14:paraId="3373269B" w14:textId="77777777" w:rsidR="00FA0856" w:rsidRPr="00061CE3" w:rsidRDefault="00FA0856" w:rsidP="00FA0856">
            <w:pPr>
              <w:rPr>
                <w:b/>
                <w:bCs/>
              </w:rPr>
            </w:pPr>
            <w:r w:rsidRPr="00061CE3">
              <w:rPr>
                <w:lang w:val="fr-CA"/>
              </w:rPr>
              <w:t>Ontario</w:t>
            </w:r>
          </w:p>
        </w:tc>
        <w:tc>
          <w:tcPr>
            <w:tcW w:w="4420" w:type="dxa"/>
            <w:noWrap/>
            <w:hideMark/>
          </w:tcPr>
          <w:p w14:paraId="639CDD5A" w14:textId="77777777" w:rsidR="00FA0856" w:rsidRPr="00061CE3" w:rsidRDefault="00FA0856" w:rsidP="00FA0856">
            <w:pPr>
              <w:jc w:val="center"/>
            </w:pPr>
            <w:r w:rsidRPr="00061CE3">
              <w:rPr>
                <w:lang w:val="fr-CA"/>
              </w:rPr>
              <w:t>139</w:t>
            </w:r>
          </w:p>
        </w:tc>
      </w:tr>
      <w:tr w:rsidR="00FA0856" w:rsidRPr="00061CE3" w14:paraId="51F0621B" w14:textId="77777777" w:rsidTr="00444960">
        <w:trPr>
          <w:trHeight w:val="285"/>
        </w:trPr>
        <w:tc>
          <w:tcPr>
            <w:tcW w:w="3240" w:type="dxa"/>
            <w:noWrap/>
            <w:hideMark/>
          </w:tcPr>
          <w:p w14:paraId="45B7B1B5" w14:textId="77777777" w:rsidR="00FA0856" w:rsidRPr="00061CE3" w:rsidRDefault="00FA0856" w:rsidP="00FA0856">
            <w:pPr>
              <w:rPr>
                <w:b/>
                <w:bCs/>
              </w:rPr>
            </w:pPr>
            <w:r w:rsidRPr="00061CE3">
              <w:rPr>
                <w:lang w:val="fr-CA"/>
              </w:rPr>
              <w:t>Québec</w:t>
            </w:r>
          </w:p>
        </w:tc>
        <w:tc>
          <w:tcPr>
            <w:tcW w:w="4420" w:type="dxa"/>
            <w:noWrap/>
            <w:hideMark/>
          </w:tcPr>
          <w:p w14:paraId="3329495E" w14:textId="77777777" w:rsidR="00FA0856" w:rsidRPr="00061CE3" w:rsidRDefault="00FA0856" w:rsidP="00FA0856">
            <w:pPr>
              <w:jc w:val="center"/>
            </w:pPr>
            <w:r w:rsidRPr="00061CE3">
              <w:rPr>
                <w:lang w:val="fr-CA"/>
              </w:rPr>
              <w:t>10</w:t>
            </w:r>
          </w:p>
        </w:tc>
      </w:tr>
      <w:tr w:rsidR="00FA0856" w:rsidRPr="00061CE3" w14:paraId="54AD3972" w14:textId="77777777" w:rsidTr="00444960">
        <w:trPr>
          <w:trHeight w:val="285"/>
        </w:trPr>
        <w:tc>
          <w:tcPr>
            <w:tcW w:w="3240" w:type="dxa"/>
            <w:noWrap/>
            <w:hideMark/>
          </w:tcPr>
          <w:p w14:paraId="0DF0802D" w14:textId="77777777" w:rsidR="00FA0856" w:rsidRPr="00061CE3" w:rsidRDefault="00FA0856" w:rsidP="00FA0856">
            <w:pPr>
              <w:rPr>
                <w:b/>
                <w:bCs/>
              </w:rPr>
            </w:pPr>
            <w:r w:rsidRPr="00061CE3">
              <w:rPr>
                <w:lang w:val="fr-CA"/>
              </w:rPr>
              <w:t>Saskatchewan</w:t>
            </w:r>
          </w:p>
        </w:tc>
        <w:tc>
          <w:tcPr>
            <w:tcW w:w="4420" w:type="dxa"/>
            <w:noWrap/>
            <w:hideMark/>
          </w:tcPr>
          <w:p w14:paraId="5E71F412" w14:textId="77777777" w:rsidR="00FA0856" w:rsidRPr="00061CE3" w:rsidRDefault="00FA0856" w:rsidP="00FA0856">
            <w:pPr>
              <w:jc w:val="center"/>
            </w:pPr>
            <w:r w:rsidRPr="00061CE3">
              <w:rPr>
                <w:lang w:val="fr-CA"/>
              </w:rPr>
              <w:t>6</w:t>
            </w:r>
          </w:p>
        </w:tc>
      </w:tr>
      <w:tr w:rsidR="00FA0856" w:rsidRPr="00061CE3" w14:paraId="465FDE08" w14:textId="77777777" w:rsidTr="00444960">
        <w:trPr>
          <w:trHeight w:val="285"/>
        </w:trPr>
        <w:tc>
          <w:tcPr>
            <w:tcW w:w="3240" w:type="dxa"/>
            <w:noWrap/>
            <w:hideMark/>
          </w:tcPr>
          <w:p w14:paraId="14819B44" w14:textId="77777777" w:rsidR="00FA0856" w:rsidRPr="00061CE3" w:rsidRDefault="00FA0856" w:rsidP="009E022B">
            <w:r w:rsidRPr="00061CE3">
              <w:rPr>
                <w:lang w:val="fr-CA"/>
              </w:rPr>
              <w:t>Total</w:t>
            </w:r>
          </w:p>
        </w:tc>
        <w:tc>
          <w:tcPr>
            <w:tcW w:w="4420" w:type="dxa"/>
            <w:noWrap/>
            <w:hideMark/>
          </w:tcPr>
          <w:p w14:paraId="4B2E32CE" w14:textId="77777777" w:rsidR="00FA0856" w:rsidRPr="00061CE3" w:rsidRDefault="00FA0856" w:rsidP="009E022B">
            <w:pPr>
              <w:jc w:val="center"/>
            </w:pPr>
            <w:r w:rsidRPr="00061CE3">
              <w:rPr>
                <w:lang w:val="fr-CA"/>
              </w:rPr>
              <w:t>214</w:t>
            </w:r>
          </w:p>
        </w:tc>
      </w:tr>
    </w:tbl>
    <w:p w14:paraId="01F35FE8" w14:textId="77777777" w:rsidR="00FA0856" w:rsidRPr="00061CE3" w:rsidRDefault="00FA0856" w:rsidP="00FA0856">
      <w:pPr>
        <w:spacing w:line="240" w:lineRule="auto"/>
      </w:pPr>
    </w:p>
    <w:p w14:paraId="2166F1AF" w14:textId="474ABB0A" w:rsidR="000A62FA" w:rsidRPr="00061CE3" w:rsidRDefault="005B412A" w:rsidP="005D75F2">
      <w:pPr>
        <w:pStyle w:val="Heading2"/>
        <w:rPr>
          <w:lang w:val="fr-CA"/>
        </w:rPr>
      </w:pPr>
      <w:bookmarkStart w:id="56" w:name="_Toc166747287"/>
      <w:bookmarkStart w:id="57" w:name="_Toc174366187"/>
      <w:r w:rsidRPr="00061CE3">
        <w:rPr>
          <w:bCs/>
          <w:lang w:val="fr-CA"/>
        </w:rPr>
        <w:t>9.3 Représentation des collaborateur(</w:t>
      </w:r>
      <w:proofErr w:type="spellStart"/>
      <w:r w:rsidRPr="00061CE3">
        <w:rPr>
          <w:bCs/>
          <w:lang w:val="fr-CA"/>
        </w:rPr>
        <w:t>rice</w:t>
      </w:r>
      <w:proofErr w:type="spellEnd"/>
      <w:r w:rsidRPr="00061CE3">
        <w:rPr>
          <w:bCs/>
          <w:lang w:val="fr-CA"/>
        </w:rPr>
        <w:t>)s : Les 5 principaux secteurs</w:t>
      </w:r>
      <w:bookmarkEnd w:id="56"/>
      <w:bookmarkEnd w:id="57"/>
    </w:p>
    <w:p w14:paraId="197551A8" w14:textId="5E1545C9" w:rsidR="00CA37E4" w:rsidRPr="00061CE3" w:rsidRDefault="00CA37E4" w:rsidP="009A5D6A">
      <w:pPr>
        <w:pStyle w:val="ListParagraph"/>
        <w:numPr>
          <w:ilvl w:val="0"/>
          <w:numId w:val="20"/>
        </w:numPr>
        <w:spacing w:line="240" w:lineRule="auto"/>
      </w:pPr>
      <w:r w:rsidRPr="00061CE3">
        <w:rPr>
          <w:lang w:val="fr-CA"/>
        </w:rPr>
        <w:t>Services</w:t>
      </w:r>
    </w:p>
    <w:p w14:paraId="44CA5659" w14:textId="6FA315FF" w:rsidR="00CA37E4" w:rsidRPr="00061CE3" w:rsidRDefault="00CA37E4" w:rsidP="009A5D6A">
      <w:pPr>
        <w:pStyle w:val="ListParagraph"/>
        <w:numPr>
          <w:ilvl w:val="0"/>
          <w:numId w:val="20"/>
        </w:numPr>
        <w:spacing w:line="240" w:lineRule="auto"/>
      </w:pPr>
      <w:r w:rsidRPr="00061CE3">
        <w:rPr>
          <w:lang w:val="fr-CA"/>
        </w:rPr>
        <w:t>Organisations sans but lucratif/ONG</w:t>
      </w:r>
    </w:p>
    <w:p w14:paraId="215F76A4" w14:textId="2458ECEB" w:rsidR="00CA37E4" w:rsidRPr="00061CE3" w:rsidRDefault="00CA37E4" w:rsidP="009A5D6A">
      <w:pPr>
        <w:pStyle w:val="ListParagraph"/>
        <w:numPr>
          <w:ilvl w:val="0"/>
          <w:numId w:val="20"/>
        </w:numPr>
        <w:spacing w:line="240" w:lineRule="auto"/>
      </w:pPr>
      <w:r w:rsidRPr="00061CE3">
        <w:rPr>
          <w:lang w:val="fr-CA"/>
        </w:rPr>
        <w:t>Enseignement postsecondaire</w:t>
      </w:r>
    </w:p>
    <w:p w14:paraId="6657310A" w14:textId="1D98DE66" w:rsidR="00CA37E4" w:rsidRPr="00061CE3" w:rsidRDefault="00825CCB" w:rsidP="009A5D6A">
      <w:pPr>
        <w:pStyle w:val="ListParagraph"/>
        <w:numPr>
          <w:ilvl w:val="0"/>
          <w:numId w:val="20"/>
        </w:numPr>
        <w:spacing w:line="240" w:lineRule="auto"/>
      </w:pPr>
      <w:r w:rsidRPr="00061CE3">
        <w:rPr>
          <w:lang w:val="fr-CA"/>
        </w:rPr>
        <w:t>Société d’État</w:t>
      </w:r>
    </w:p>
    <w:p w14:paraId="0255DE73" w14:textId="737661B6" w:rsidR="005D75F2" w:rsidRPr="00061CE3" w:rsidRDefault="00CA37E4" w:rsidP="009A5D6A">
      <w:pPr>
        <w:pStyle w:val="ListParagraph"/>
        <w:numPr>
          <w:ilvl w:val="0"/>
          <w:numId w:val="20"/>
        </w:numPr>
        <w:spacing w:line="240" w:lineRule="auto"/>
      </w:pPr>
      <w:r w:rsidRPr="00061CE3">
        <w:rPr>
          <w:lang w:val="fr-CA"/>
        </w:rPr>
        <w:t>Gouvernement fédéral</w:t>
      </w:r>
    </w:p>
    <w:p w14:paraId="17BA1C27" w14:textId="77777777" w:rsidR="008F74AC" w:rsidRPr="00061CE3" w:rsidRDefault="008F74AC">
      <w:pPr>
        <w:rPr>
          <w:rFonts w:eastAsia="Helvetica Neue"/>
          <w:b/>
          <w:color w:val="C00000"/>
          <w:sz w:val="32"/>
          <w:szCs w:val="32"/>
        </w:rPr>
      </w:pPr>
      <w:bookmarkStart w:id="58" w:name="_Toc166747288"/>
      <w:r w:rsidRPr="00061CE3">
        <w:rPr>
          <w:lang w:val="fr-CA"/>
        </w:rPr>
        <w:br w:type="page"/>
      </w:r>
    </w:p>
    <w:p w14:paraId="244F6361" w14:textId="71424E13" w:rsidR="00CA37E4" w:rsidRPr="00061CE3" w:rsidRDefault="003307FF" w:rsidP="00CA37E4">
      <w:pPr>
        <w:pStyle w:val="Heading1"/>
      </w:pPr>
      <w:bookmarkStart w:id="59" w:name="_Toc174366188"/>
      <w:r w:rsidRPr="00061CE3">
        <w:rPr>
          <w:bCs/>
          <w:lang w:val="fr-CA"/>
        </w:rPr>
        <w:lastRenderedPageBreak/>
        <w:t>10.0 Gouvernance du RCA</w:t>
      </w:r>
      <w:bookmarkEnd w:id="58"/>
      <w:bookmarkEnd w:id="59"/>
    </w:p>
    <w:p w14:paraId="08BDE50F" w14:textId="77777777" w:rsidR="00F72C50" w:rsidRPr="00061CE3" w:rsidRDefault="00F72C50" w:rsidP="00F72C50">
      <w:pPr>
        <w:rPr>
          <w:lang w:val="fr-CA"/>
        </w:rPr>
      </w:pPr>
      <w:r w:rsidRPr="00061CE3">
        <w:rPr>
          <w:lang w:val="fr-CA"/>
        </w:rPr>
        <w:t>Membres clés du RCA dans des rôles de gouvernance :</w:t>
      </w:r>
    </w:p>
    <w:p w14:paraId="11F909AB" w14:textId="6E007B98" w:rsidR="00F72C50" w:rsidRPr="00061CE3" w:rsidRDefault="00F72C50" w:rsidP="00F72C50">
      <w:pPr>
        <w:pStyle w:val="ListParagraph"/>
        <w:numPr>
          <w:ilvl w:val="0"/>
          <w:numId w:val="21"/>
        </w:numPr>
        <w:rPr>
          <w:lang w:val="fr-CA"/>
        </w:rPr>
      </w:pPr>
      <w:r w:rsidRPr="00061CE3">
        <w:rPr>
          <w:lang w:val="fr-CA"/>
        </w:rPr>
        <w:t>Suzanne Blanchard, présidente du conseil de direction du RCA</w:t>
      </w:r>
    </w:p>
    <w:p w14:paraId="19F4A87C" w14:textId="3D7DDBF2" w:rsidR="00F72C50" w:rsidRPr="00061CE3" w:rsidRDefault="00F72C50" w:rsidP="00F72C50">
      <w:pPr>
        <w:pStyle w:val="ListParagraph"/>
        <w:numPr>
          <w:ilvl w:val="0"/>
          <w:numId w:val="21"/>
        </w:numPr>
        <w:rPr>
          <w:lang w:val="fr-CA"/>
        </w:rPr>
      </w:pPr>
      <w:r w:rsidRPr="00061CE3">
        <w:rPr>
          <w:lang w:val="fr-CA"/>
        </w:rPr>
        <w:t>Tony </w:t>
      </w:r>
      <w:proofErr w:type="spellStart"/>
      <w:r w:rsidRPr="00061CE3">
        <w:rPr>
          <w:lang w:val="fr-CA"/>
        </w:rPr>
        <w:t>Labillois</w:t>
      </w:r>
      <w:proofErr w:type="spellEnd"/>
      <w:r w:rsidRPr="00061CE3">
        <w:rPr>
          <w:lang w:val="fr-CA"/>
        </w:rPr>
        <w:t xml:space="preserve">, président du conseil consultatif du RCA et vice-président du conseil de direction du RCA </w:t>
      </w:r>
    </w:p>
    <w:p w14:paraId="59F05BD6" w14:textId="4833DED8" w:rsidR="00F72C50" w:rsidRPr="00061CE3" w:rsidRDefault="00F72C50" w:rsidP="00F72C50">
      <w:pPr>
        <w:pStyle w:val="ListParagraph"/>
        <w:numPr>
          <w:ilvl w:val="0"/>
          <w:numId w:val="21"/>
        </w:numPr>
        <w:rPr>
          <w:lang w:val="fr-CA"/>
        </w:rPr>
      </w:pPr>
      <w:r w:rsidRPr="00061CE3">
        <w:rPr>
          <w:lang w:val="fr-CA"/>
        </w:rPr>
        <w:t xml:space="preserve">Pina D’Intino, codirectrice de la communauté de pratiques sur l’éducation et la formation </w:t>
      </w:r>
    </w:p>
    <w:p w14:paraId="750002D2" w14:textId="47751F79" w:rsidR="00F72C50" w:rsidRPr="00061CE3" w:rsidRDefault="00F72C50" w:rsidP="00F72C50">
      <w:pPr>
        <w:pStyle w:val="ListParagraph"/>
        <w:numPr>
          <w:ilvl w:val="0"/>
          <w:numId w:val="21"/>
        </w:numPr>
        <w:rPr>
          <w:lang w:val="fr-CA"/>
        </w:rPr>
      </w:pPr>
      <w:r w:rsidRPr="00061CE3">
        <w:rPr>
          <w:lang w:val="fr-CA"/>
        </w:rPr>
        <w:t xml:space="preserve">Maureen Wideman, codirectrice de la communauté de pratiques sur l’éducation et la formation </w:t>
      </w:r>
    </w:p>
    <w:p w14:paraId="1C792994" w14:textId="2886EBC1" w:rsidR="00F72C50" w:rsidRPr="00061CE3" w:rsidRDefault="00F72C50" w:rsidP="00F72C50">
      <w:pPr>
        <w:pStyle w:val="ListParagraph"/>
        <w:numPr>
          <w:ilvl w:val="0"/>
          <w:numId w:val="21"/>
        </w:numPr>
        <w:rPr>
          <w:lang w:val="fr-CA"/>
        </w:rPr>
      </w:pPr>
      <w:r w:rsidRPr="00061CE3">
        <w:rPr>
          <w:lang w:val="fr-CA"/>
        </w:rPr>
        <w:t>Bianca Go, codirectrice de la communauté de pratiques sur l’emploi</w:t>
      </w:r>
    </w:p>
    <w:p w14:paraId="6F3CCCD5" w14:textId="4E5FCCAE" w:rsidR="00F72C50" w:rsidRPr="00061CE3" w:rsidRDefault="00F72C50" w:rsidP="00F72C50">
      <w:pPr>
        <w:pStyle w:val="ListParagraph"/>
        <w:numPr>
          <w:ilvl w:val="0"/>
          <w:numId w:val="21"/>
        </w:numPr>
        <w:rPr>
          <w:lang w:val="fr-CA"/>
        </w:rPr>
      </w:pPr>
      <w:r w:rsidRPr="00061CE3">
        <w:rPr>
          <w:lang w:val="fr-CA"/>
        </w:rPr>
        <w:t>Richard Plummer, codirecteur de la communauté de pratiques sur l’emploi</w:t>
      </w:r>
    </w:p>
    <w:p w14:paraId="0A8AFED1" w14:textId="2F4EBBCC" w:rsidR="00F72C50" w:rsidRPr="00061CE3" w:rsidRDefault="00F72C50" w:rsidP="00F72C50">
      <w:pPr>
        <w:pStyle w:val="ListParagraph"/>
        <w:numPr>
          <w:ilvl w:val="0"/>
          <w:numId w:val="21"/>
        </w:numPr>
        <w:rPr>
          <w:lang w:val="fr-CA"/>
        </w:rPr>
      </w:pPr>
      <w:r w:rsidRPr="00061CE3">
        <w:rPr>
          <w:lang w:val="fr-CA"/>
        </w:rPr>
        <w:t>Lucille Berlinguette-Saumure, directrice de la communauté de pratiques sur les politiques</w:t>
      </w:r>
    </w:p>
    <w:p w14:paraId="115E6016" w14:textId="19D6ED21" w:rsidR="00F72C50" w:rsidRPr="00061CE3" w:rsidRDefault="00F72C50" w:rsidP="00F72C50">
      <w:pPr>
        <w:pStyle w:val="ListParagraph"/>
        <w:numPr>
          <w:ilvl w:val="0"/>
          <w:numId w:val="21"/>
        </w:numPr>
        <w:rPr>
          <w:lang w:val="fr-CA"/>
        </w:rPr>
      </w:pPr>
      <w:r w:rsidRPr="00061CE3">
        <w:rPr>
          <w:lang w:val="fr-CA"/>
        </w:rPr>
        <w:t>Amber </w:t>
      </w:r>
      <w:proofErr w:type="spellStart"/>
      <w:r w:rsidRPr="00061CE3">
        <w:rPr>
          <w:lang w:val="fr-CA"/>
        </w:rPr>
        <w:t>Knabl</w:t>
      </w:r>
      <w:proofErr w:type="spellEnd"/>
      <w:r w:rsidRPr="00061CE3">
        <w:rPr>
          <w:lang w:val="fr-CA"/>
        </w:rPr>
        <w:t>, codirectrice de la communauté de pratiques sur la recherche, la conception et l’innovation</w:t>
      </w:r>
    </w:p>
    <w:p w14:paraId="7A8A5AF6" w14:textId="18C1104F" w:rsidR="00F72C50" w:rsidRPr="00B45A8E" w:rsidRDefault="00F72C50" w:rsidP="00F72C50">
      <w:pPr>
        <w:pStyle w:val="ListParagraph"/>
        <w:numPr>
          <w:ilvl w:val="0"/>
          <w:numId w:val="21"/>
        </w:numPr>
        <w:rPr>
          <w:lang w:val="fr-CA"/>
        </w:rPr>
      </w:pPr>
      <w:r w:rsidRPr="00061CE3">
        <w:rPr>
          <w:lang w:val="fr-CA"/>
        </w:rPr>
        <w:t>Claire Davies, codirectrice de la communauté de pratiques sur la recherche, la conception et l’innovation</w:t>
      </w:r>
    </w:p>
    <w:p w14:paraId="4DDC59D8" w14:textId="46337C60" w:rsidR="00F72C50" w:rsidRPr="00061CE3" w:rsidRDefault="003307FF" w:rsidP="003C773F">
      <w:pPr>
        <w:pStyle w:val="Heading2"/>
        <w:rPr>
          <w:lang w:val="fr-CA"/>
        </w:rPr>
      </w:pPr>
      <w:bookmarkStart w:id="60" w:name="_Toc166747289"/>
      <w:bookmarkStart w:id="61" w:name="_Toc174366189"/>
      <w:r w:rsidRPr="00061CE3">
        <w:rPr>
          <w:bCs/>
          <w:lang w:val="fr-CA"/>
        </w:rPr>
        <w:t>10.1 Bureau national du RCA</w:t>
      </w:r>
      <w:bookmarkEnd w:id="60"/>
      <w:bookmarkEnd w:id="61"/>
    </w:p>
    <w:p w14:paraId="69872E65" w14:textId="77777777" w:rsidR="006057BA" w:rsidRPr="00061CE3" w:rsidRDefault="006057BA" w:rsidP="006057BA">
      <w:pPr>
        <w:rPr>
          <w:lang w:val="fr-CA"/>
        </w:rPr>
      </w:pPr>
      <w:r w:rsidRPr="00061CE3">
        <w:rPr>
          <w:lang w:val="fr-CA"/>
        </w:rPr>
        <w:t>Membres clés de l’équipe du bureau national du RCA :</w:t>
      </w:r>
    </w:p>
    <w:p w14:paraId="2816A3BB" w14:textId="77777777" w:rsidR="006057BA" w:rsidRPr="00061CE3" w:rsidRDefault="006057BA" w:rsidP="006057BA">
      <w:pPr>
        <w:pStyle w:val="ListParagraph"/>
        <w:numPr>
          <w:ilvl w:val="0"/>
          <w:numId w:val="22"/>
        </w:numPr>
        <w:rPr>
          <w:lang w:val="fr-CA"/>
        </w:rPr>
      </w:pPr>
      <w:r w:rsidRPr="00061CE3">
        <w:rPr>
          <w:lang w:val="fr-CA"/>
        </w:rPr>
        <w:t>Boris </w:t>
      </w:r>
      <w:proofErr w:type="spellStart"/>
      <w:r w:rsidRPr="00061CE3">
        <w:rPr>
          <w:lang w:val="fr-CA"/>
        </w:rPr>
        <w:t>Vukovic</w:t>
      </w:r>
      <w:proofErr w:type="spellEnd"/>
      <w:r w:rsidRPr="00061CE3">
        <w:rPr>
          <w:lang w:val="fr-CA"/>
        </w:rPr>
        <w:t xml:space="preserve">, directeur, Institut de l’accessibilité et bureau national du RCA </w:t>
      </w:r>
    </w:p>
    <w:p w14:paraId="2947DF43" w14:textId="77777777" w:rsidR="006057BA" w:rsidRPr="00061CE3" w:rsidRDefault="006057BA" w:rsidP="006057BA">
      <w:pPr>
        <w:pStyle w:val="ListParagraph"/>
        <w:numPr>
          <w:ilvl w:val="0"/>
          <w:numId w:val="22"/>
        </w:numPr>
        <w:rPr>
          <w:lang w:val="fr-CA"/>
        </w:rPr>
      </w:pPr>
      <w:r w:rsidRPr="00061CE3">
        <w:rPr>
          <w:lang w:val="fr-CA"/>
        </w:rPr>
        <w:t>Julie Caldwell, directrice adjointe des opérations des programmes, Institut de l’accessibilité et bureau national du RCA</w:t>
      </w:r>
    </w:p>
    <w:p w14:paraId="1088FF69" w14:textId="77777777" w:rsidR="006057BA" w:rsidRPr="00061CE3" w:rsidRDefault="006057BA" w:rsidP="006057BA">
      <w:pPr>
        <w:pStyle w:val="ListParagraph"/>
        <w:numPr>
          <w:ilvl w:val="0"/>
          <w:numId w:val="22"/>
        </w:numPr>
        <w:rPr>
          <w:lang w:val="fr-CA"/>
        </w:rPr>
      </w:pPr>
      <w:r w:rsidRPr="00061CE3">
        <w:rPr>
          <w:lang w:val="fr-CA"/>
        </w:rPr>
        <w:t>Mastoor Al </w:t>
      </w:r>
      <w:proofErr w:type="spellStart"/>
      <w:r w:rsidRPr="00061CE3">
        <w:rPr>
          <w:lang w:val="fr-CA"/>
        </w:rPr>
        <w:t>Kaboody</w:t>
      </w:r>
      <w:proofErr w:type="spellEnd"/>
      <w:r w:rsidRPr="00061CE3">
        <w:rPr>
          <w:lang w:val="fr-CA"/>
        </w:rPr>
        <w:t xml:space="preserve">, gestionnaire des programmes du RCA </w:t>
      </w:r>
    </w:p>
    <w:p w14:paraId="0D5FB91A" w14:textId="77777777" w:rsidR="006057BA" w:rsidRPr="00061CE3" w:rsidRDefault="006057BA" w:rsidP="006057BA">
      <w:pPr>
        <w:pStyle w:val="ListParagraph"/>
        <w:numPr>
          <w:ilvl w:val="0"/>
          <w:numId w:val="22"/>
        </w:numPr>
        <w:rPr>
          <w:lang w:val="fr-CA"/>
        </w:rPr>
      </w:pPr>
      <w:r w:rsidRPr="00061CE3">
        <w:rPr>
          <w:lang w:val="fr-CA"/>
        </w:rPr>
        <w:t>Ariel Birkinshaw, Coordonnatrice de l’administration et de la communication</w:t>
      </w:r>
    </w:p>
    <w:p w14:paraId="4D28D69E" w14:textId="0E479494" w:rsidR="00082039" w:rsidRPr="00061CE3" w:rsidRDefault="00082039" w:rsidP="006057BA">
      <w:pPr>
        <w:pStyle w:val="ListParagraph"/>
        <w:numPr>
          <w:ilvl w:val="0"/>
          <w:numId w:val="22"/>
        </w:numPr>
        <w:rPr>
          <w:lang w:val="fr-CA"/>
        </w:rPr>
      </w:pPr>
      <w:r w:rsidRPr="00061CE3">
        <w:rPr>
          <w:lang w:val="fr-CA"/>
        </w:rPr>
        <w:t>Madeleine </w:t>
      </w:r>
      <w:proofErr w:type="spellStart"/>
      <w:r w:rsidRPr="00061CE3">
        <w:rPr>
          <w:lang w:val="fr-CA"/>
        </w:rPr>
        <w:t>Egginton</w:t>
      </w:r>
      <w:proofErr w:type="spellEnd"/>
      <w:r w:rsidRPr="00061CE3">
        <w:rPr>
          <w:lang w:val="fr-CA"/>
        </w:rPr>
        <w:t>, Coordonnatrice de la réunion d’affaires annuelle</w:t>
      </w:r>
    </w:p>
    <w:p w14:paraId="0098A882" w14:textId="77777777" w:rsidR="006057BA" w:rsidRPr="00061CE3" w:rsidRDefault="006057BA" w:rsidP="006057BA">
      <w:pPr>
        <w:pStyle w:val="ListParagraph"/>
        <w:numPr>
          <w:ilvl w:val="0"/>
          <w:numId w:val="22"/>
        </w:numPr>
        <w:rPr>
          <w:lang w:val="fr-CA"/>
        </w:rPr>
      </w:pPr>
      <w:r w:rsidRPr="00061CE3">
        <w:rPr>
          <w:lang w:val="fr-CA"/>
        </w:rPr>
        <w:t>Ken Yi Lei </w:t>
      </w:r>
      <w:proofErr w:type="spellStart"/>
      <w:r w:rsidRPr="00061CE3">
        <w:rPr>
          <w:lang w:val="fr-CA"/>
        </w:rPr>
        <w:t>Lei</w:t>
      </w:r>
      <w:proofErr w:type="spellEnd"/>
      <w:r w:rsidRPr="00061CE3">
        <w:rPr>
          <w:lang w:val="fr-CA"/>
        </w:rPr>
        <w:t>, chargé de soutien au bureau national du RCA</w:t>
      </w:r>
    </w:p>
    <w:p w14:paraId="5FF7A534" w14:textId="43002CDE" w:rsidR="00F72C50" w:rsidRPr="00061CE3" w:rsidRDefault="006057BA" w:rsidP="006057BA">
      <w:pPr>
        <w:pStyle w:val="ListParagraph"/>
        <w:numPr>
          <w:ilvl w:val="0"/>
          <w:numId w:val="22"/>
        </w:numPr>
        <w:rPr>
          <w:lang w:val="fr-CA"/>
        </w:rPr>
      </w:pPr>
      <w:r w:rsidRPr="00061CE3">
        <w:rPr>
          <w:lang w:val="fr-CA"/>
        </w:rPr>
        <w:t>Mikaela Stevenson, coordonnatrice des communications et des événements, Institut de l’accessibilité et bureau national du RCA</w:t>
      </w:r>
    </w:p>
    <w:p w14:paraId="7450A5EA" w14:textId="77777777" w:rsidR="00B438E9" w:rsidRDefault="00B438E9">
      <w:pPr>
        <w:rPr>
          <w:rFonts w:eastAsia="Helvetica Neue"/>
          <w:b/>
          <w:bCs/>
          <w:color w:val="C00000"/>
          <w:sz w:val="26"/>
          <w:lang w:val="fr-CA"/>
        </w:rPr>
      </w:pPr>
      <w:bookmarkStart w:id="62" w:name="_Toc166747290"/>
      <w:r>
        <w:rPr>
          <w:bCs/>
          <w:lang w:val="fr-CA"/>
        </w:rPr>
        <w:br w:type="page"/>
      </w:r>
    </w:p>
    <w:p w14:paraId="2FE27BDE" w14:textId="719ECDF8" w:rsidR="00D61CBC" w:rsidRPr="00061CE3" w:rsidRDefault="003307FF" w:rsidP="006744F5">
      <w:pPr>
        <w:pStyle w:val="Heading2"/>
        <w:rPr>
          <w:lang w:val="fr-CA"/>
        </w:rPr>
      </w:pPr>
      <w:bookmarkStart w:id="63" w:name="_Toc174366190"/>
      <w:r w:rsidRPr="00061CE3">
        <w:rPr>
          <w:bCs/>
          <w:lang w:val="fr-CA"/>
        </w:rPr>
        <w:lastRenderedPageBreak/>
        <w:t>10.2 Collaborateur(</w:t>
      </w:r>
      <w:proofErr w:type="spellStart"/>
      <w:r w:rsidRPr="00061CE3">
        <w:rPr>
          <w:bCs/>
          <w:lang w:val="fr-CA"/>
        </w:rPr>
        <w:t>rice</w:t>
      </w:r>
      <w:proofErr w:type="spellEnd"/>
      <w:r w:rsidRPr="00061CE3">
        <w:rPr>
          <w:bCs/>
          <w:lang w:val="fr-CA"/>
        </w:rPr>
        <w:t>)s du RCA</w:t>
      </w:r>
      <w:bookmarkEnd w:id="62"/>
      <w:bookmarkEnd w:id="63"/>
    </w:p>
    <w:p w14:paraId="5345DDB8" w14:textId="1443999A" w:rsidR="00D61CBC" w:rsidRPr="00061CE3" w:rsidRDefault="00EA3D8B" w:rsidP="00EA3D8B">
      <w:pPr>
        <w:rPr>
          <w:lang w:val="fr-CA"/>
        </w:rPr>
      </w:pPr>
      <w:r w:rsidRPr="00061CE3">
        <w:rPr>
          <w:lang w:val="fr-CA"/>
        </w:rPr>
        <w:t>Au sein de notre réseau, il est essentiel de saisir la distinction nuancée qui est faite entre les organisations collaboratrices du RCA, les collaborateur(</w:t>
      </w:r>
      <w:proofErr w:type="spellStart"/>
      <w:r w:rsidRPr="00061CE3">
        <w:rPr>
          <w:lang w:val="fr-CA"/>
        </w:rPr>
        <w:t>rice</w:t>
      </w:r>
      <w:proofErr w:type="spellEnd"/>
      <w:r w:rsidRPr="00061CE3">
        <w:rPr>
          <w:lang w:val="fr-CA"/>
        </w:rPr>
        <w:t>)s individuel(le)s du RCA et les membres du RCA. Les organisations collaboratrices du RCA désignent les organisations qui ont obtenu l’autorisation d’adhérer dans leur intégralité au RCA. Pour leur part, les collaborateur(</w:t>
      </w:r>
      <w:proofErr w:type="spellStart"/>
      <w:r w:rsidRPr="00061CE3">
        <w:rPr>
          <w:lang w:val="fr-CA"/>
        </w:rPr>
        <w:t>rice</w:t>
      </w:r>
      <w:proofErr w:type="spellEnd"/>
      <w:r w:rsidRPr="00061CE3">
        <w:rPr>
          <w:lang w:val="fr-CA"/>
        </w:rPr>
        <w:t>)s individuel(le)s du RCA représentent des personnes qui enrichissent notre réseau de leurs connaissances et de leurs points de vue de spécialistes. Celles-ci choisissent de s’engager auprès du RCA en tant que collaborateur(</w:t>
      </w:r>
      <w:proofErr w:type="spellStart"/>
      <w:r w:rsidRPr="00061CE3">
        <w:rPr>
          <w:lang w:val="fr-CA"/>
        </w:rPr>
        <w:t>rice</w:t>
      </w:r>
      <w:proofErr w:type="spellEnd"/>
      <w:r w:rsidRPr="00061CE3">
        <w:rPr>
          <w:lang w:val="fr-CA"/>
        </w:rPr>
        <w:t xml:space="preserve">)s individuel(le)s, ajoutant ainsi de la profondeur et de la diversité à notre intelligence collective. Enfin, les membres du RCA englobent toutes les personnes qui participent de manière active à nos communautés de pratique. Il peut s’agir d’employé(e)s d’organisations collaboratrices ou d’individus indépendant(e)s qui souhaitent prendre part à nos initiatives. Veuillez consulter la liste des </w:t>
      </w:r>
      <w:hyperlink r:id="rId13" w:history="1">
        <w:r w:rsidRPr="00061CE3">
          <w:rPr>
            <w:rStyle w:val="Hyperlink"/>
            <w:lang w:val="fr-CA"/>
          </w:rPr>
          <w:t>collaborateur(</w:t>
        </w:r>
        <w:proofErr w:type="spellStart"/>
        <w:r w:rsidRPr="00061CE3">
          <w:rPr>
            <w:rStyle w:val="Hyperlink"/>
            <w:lang w:val="fr-CA"/>
          </w:rPr>
          <w:t>rice</w:t>
        </w:r>
        <w:proofErr w:type="spellEnd"/>
        <w:r w:rsidRPr="00061CE3">
          <w:rPr>
            <w:rStyle w:val="Hyperlink"/>
            <w:lang w:val="fr-CA"/>
          </w:rPr>
          <w:t>)s du RCA</w:t>
        </w:r>
      </w:hyperlink>
      <w:r w:rsidRPr="00061CE3">
        <w:rPr>
          <w:lang w:val="fr-CA"/>
        </w:rPr>
        <w:t xml:space="preserve"> pour en savoir plus.</w:t>
      </w:r>
    </w:p>
    <w:p w14:paraId="2931680A" w14:textId="299AD0A1" w:rsidR="00DA6DFD" w:rsidRPr="00061CE3" w:rsidRDefault="00DA6DFD" w:rsidP="00B31BFF">
      <w:pPr>
        <w:pStyle w:val="Heading3"/>
        <w:spacing w:before="360" w:after="120"/>
        <w:rPr>
          <w:sz w:val="26"/>
          <w:szCs w:val="26"/>
        </w:rPr>
      </w:pPr>
      <w:bookmarkStart w:id="64" w:name="_Toc166747291"/>
      <w:r w:rsidRPr="00061CE3">
        <w:rPr>
          <w:sz w:val="26"/>
          <w:szCs w:val="26"/>
          <w:lang w:val="fr-CA"/>
        </w:rPr>
        <w:t>Organisations collaboratrices du RCA</w:t>
      </w:r>
      <w:bookmarkEnd w:id="64"/>
    </w:p>
    <w:p w14:paraId="129B6A95" w14:textId="77777777" w:rsidR="00BA38A7" w:rsidRPr="00061CE3" w:rsidRDefault="00BA38A7" w:rsidP="00B31BFF">
      <w:pPr>
        <w:sectPr w:rsidR="00BA38A7" w:rsidRPr="00061CE3" w:rsidSect="004B43B8">
          <w:headerReference w:type="even" r:id="rId14"/>
          <w:headerReference w:type="default" r:id="rId15"/>
          <w:footerReference w:type="even" r:id="rId16"/>
          <w:footerReference w:type="default" r:id="rId17"/>
          <w:headerReference w:type="first" r:id="rId18"/>
          <w:footerReference w:type="first" r:id="rId19"/>
          <w:pgSz w:w="12240" w:h="15840"/>
          <w:pgMar w:top="1276" w:right="1325" w:bottom="0" w:left="1560" w:header="720" w:footer="720" w:gutter="0"/>
          <w:pgNumType w:start="1"/>
          <w:cols w:space="720"/>
          <w:titlePg/>
          <w:docGrid w:linePitch="299"/>
        </w:sectPr>
      </w:pPr>
      <w:bookmarkStart w:id="65" w:name="_Toc166747292"/>
    </w:p>
    <w:p w14:paraId="4759508B" w14:textId="37FE2349" w:rsidR="00A02D6B" w:rsidRPr="00061CE3" w:rsidRDefault="00A02D6B" w:rsidP="003B0162">
      <w:pPr>
        <w:pStyle w:val="ListParagraph"/>
        <w:numPr>
          <w:ilvl w:val="0"/>
          <w:numId w:val="25"/>
        </w:numPr>
        <w:ind w:hanging="450"/>
      </w:pPr>
      <w:proofErr w:type="spellStart"/>
      <w:r w:rsidRPr="00061CE3">
        <w:rPr>
          <w:lang w:val="fr-CA"/>
        </w:rPr>
        <w:t>Abilities</w:t>
      </w:r>
      <w:proofErr w:type="spellEnd"/>
      <w:r w:rsidRPr="00061CE3">
        <w:rPr>
          <w:lang w:val="fr-CA"/>
        </w:rPr>
        <w:t xml:space="preserve"> Centre Whitby-Ottawa  </w:t>
      </w:r>
    </w:p>
    <w:p w14:paraId="4873BE1C" w14:textId="77777777" w:rsidR="00A02D6B" w:rsidRPr="00061CE3" w:rsidRDefault="00A02D6B" w:rsidP="003B0162">
      <w:pPr>
        <w:pStyle w:val="ListParagraph"/>
        <w:numPr>
          <w:ilvl w:val="0"/>
          <w:numId w:val="25"/>
        </w:numPr>
        <w:ind w:hanging="450"/>
      </w:pPr>
      <w:r w:rsidRPr="00061CE3">
        <w:rPr>
          <w:lang w:val="fr-CA"/>
        </w:rPr>
        <w:t xml:space="preserve">Capacité Nouveau-Brunswick </w:t>
      </w:r>
    </w:p>
    <w:p w14:paraId="1B511B4E" w14:textId="77777777" w:rsidR="00A02D6B" w:rsidRPr="00061CE3" w:rsidRDefault="00A02D6B" w:rsidP="003B0162">
      <w:pPr>
        <w:pStyle w:val="ListParagraph"/>
        <w:numPr>
          <w:ilvl w:val="0"/>
          <w:numId w:val="25"/>
        </w:numPr>
        <w:ind w:hanging="450"/>
      </w:pPr>
      <w:r w:rsidRPr="00061CE3">
        <w:rPr>
          <w:lang w:val="fr-CA"/>
        </w:rPr>
        <w:t xml:space="preserve">ABLE2  </w:t>
      </w:r>
    </w:p>
    <w:p w14:paraId="11913EBA" w14:textId="77777777" w:rsidR="00A02D6B" w:rsidRPr="00061CE3" w:rsidRDefault="00A02D6B" w:rsidP="003B0162">
      <w:pPr>
        <w:pStyle w:val="ListParagraph"/>
        <w:numPr>
          <w:ilvl w:val="0"/>
          <w:numId w:val="25"/>
        </w:numPr>
        <w:ind w:hanging="450"/>
      </w:pPr>
      <w:proofErr w:type="spellStart"/>
      <w:r w:rsidRPr="00061CE3">
        <w:rPr>
          <w:lang w:val="fr-CA"/>
        </w:rPr>
        <w:t>Aboriginal</w:t>
      </w:r>
      <w:proofErr w:type="spellEnd"/>
      <w:r w:rsidRPr="00061CE3">
        <w:rPr>
          <w:lang w:val="fr-CA"/>
        </w:rPr>
        <w:t xml:space="preserve"> </w:t>
      </w:r>
      <w:proofErr w:type="spellStart"/>
      <w:r w:rsidRPr="00061CE3">
        <w:rPr>
          <w:lang w:val="fr-CA"/>
        </w:rPr>
        <w:t>Apprenticeship</w:t>
      </w:r>
      <w:proofErr w:type="spellEnd"/>
      <w:r w:rsidRPr="00061CE3">
        <w:rPr>
          <w:lang w:val="fr-CA"/>
        </w:rPr>
        <w:t xml:space="preserve"> </w:t>
      </w:r>
      <w:proofErr w:type="spellStart"/>
      <w:r w:rsidRPr="00061CE3">
        <w:rPr>
          <w:lang w:val="fr-CA"/>
        </w:rPr>
        <w:t>Board</w:t>
      </w:r>
      <w:proofErr w:type="spellEnd"/>
      <w:r w:rsidRPr="00061CE3">
        <w:rPr>
          <w:lang w:val="fr-CA"/>
        </w:rPr>
        <w:t xml:space="preserve">  </w:t>
      </w:r>
    </w:p>
    <w:p w14:paraId="0C2032AD" w14:textId="77777777" w:rsidR="00A02D6B" w:rsidRPr="00061CE3" w:rsidRDefault="00A02D6B" w:rsidP="003B0162">
      <w:pPr>
        <w:pStyle w:val="ListParagraph"/>
        <w:numPr>
          <w:ilvl w:val="0"/>
          <w:numId w:val="25"/>
        </w:numPr>
        <w:ind w:hanging="450"/>
      </w:pPr>
      <w:proofErr w:type="spellStart"/>
      <w:r w:rsidRPr="00061CE3">
        <w:rPr>
          <w:lang w:val="fr-CA"/>
        </w:rPr>
        <w:t>Accessibil</w:t>
      </w:r>
      <w:proofErr w:type="spellEnd"/>
      <w:r w:rsidRPr="00061CE3">
        <w:rPr>
          <w:lang w:val="fr-CA"/>
        </w:rPr>
        <w:t xml:space="preserve">-IT </w:t>
      </w:r>
      <w:proofErr w:type="spellStart"/>
      <w:r w:rsidRPr="00061CE3">
        <w:rPr>
          <w:lang w:val="fr-CA"/>
        </w:rPr>
        <w:t>inc.</w:t>
      </w:r>
      <w:proofErr w:type="spellEnd"/>
      <w:r w:rsidRPr="00061CE3">
        <w:rPr>
          <w:lang w:val="fr-CA"/>
        </w:rPr>
        <w:t xml:space="preserve">  </w:t>
      </w:r>
    </w:p>
    <w:p w14:paraId="4A44C6CD" w14:textId="77777777" w:rsidR="00A02D6B" w:rsidRPr="00061CE3" w:rsidRDefault="00A02D6B" w:rsidP="003B0162">
      <w:pPr>
        <w:pStyle w:val="ListParagraph"/>
        <w:numPr>
          <w:ilvl w:val="0"/>
          <w:numId w:val="25"/>
        </w:numPr>
        <w:ind w:hanging="450"/>
      </w:pPr>
      <w:r w:rsidRPr="00061CE3">
        <w:rPr>
          <w:lang w:val="fr-CA"/>
        </w:rPr>
        <w:t xml:space="preserve">Accessible </w:t>
      </w:r>
      <w:proofErr w:type="spellStart"/>
      <w:r w:rsidRPr="00061CE3">
        <w:rPr>
          <w:lang w:val="fr-CA"/>
        </w:rPr>
        <w:t>Employers</w:t>
      </w:r>
      <w:proofErr w:type="spellEnd"/>
      <w:r w:rsidRPr="00061CE3">
        <w:rPr>
          <w:lang w:val="fr-CA"/>
        </w:rPr>
        <w:t xml:space="preserve"> </w:t>
      </w:r>
    </w:p>
    <w:p w14:paraId="4B8B89E7" w14:textId="77777777" w:rsidR="00A02D6B" w:rsidRPr="00061CE3" w:rsidRDefault="00A02D6B" w:rsidP="003B0162">
      <w:pPr>
        <w:pStyle w:val="ListParagraph"/>
        <w:numPr>
          <w:ilvl w:val="0"/>
          <w:numId w:val="25"/>
        </w:numPr>
        <w:ind w:hanging="450"/>
      </w:pPr>
      <w:proofErr w:type="spellStart"/>
      <w:r w:rsidRPr="00061CE3">
        <w:rPr>
          <w:lang w:val="fr-CA"/>
        </w:rPr>
        <w:t>Accessibrand</w:t>
      </w:r>
      <w:proofErr w:type="spellEnd"/>
      <w:r w:rsidRPr="00061CE3">
        <w:rPr>
          <w:lang w:val="fr-CA"/>
        </w:rPr>
        <w:t xml:space="preserve">  </w:t>
      </w:r>
    </w:p>
    <w:p w14:paraId="43363E2E" w14:textId="77777777" w:rsidR="00A02D6B" w:rsidRPr="00061CE3" w:rsidRDefault="00A02D6B" w:rsidP="003B0162">
      <w:pPr>
        <w:pStyle w:val="ListParagraph"/>
        <w:numPr>
          <w:ilvl w:val="0"/>
          <w:numId w:val="25"/>
        </w:numPr>
        <w:ind w:hanging="450"/>
      </w:pPr>
      <w:proofErr w:type="spellStart"/>
      <w:r w:rsidRPr="00061CE3">
        <w:rPr>
          <w:lang w:val="fr-CA"/>
        </w:rPr>
        <w:t>Adaptability</w:t>
      </w:r>
      <w:proofErr w:type="spellEnd"/>
      <w:r w:rsidRPr="00061CE3">
        <w:rPr>
          <w:lang w:val="fr-CA"/>
        </w:rPr>
        <w:t xml:space="preserve"> Canada Corporation  </w:t>
      </w:r>
    </w:p>
    <w:p w14:paraId="12FC4DB2" w14:textId="77777777" w:rsidR="00A02D6B" w:rsidRPr="00061CE3" w:rsidRDefault="00A02D6B" w:rsidP="003B0162">
      <w:pPr>
        <w:pStyle w:val="ListParagraph"/>
        <w:numPr>
          <w:ilvl w:val="0"/>
          <w:numId w:val="25"/>
        </w:numPr>
        <w:ind w:hanging="450"/>
      </w:pPr>
      <w:proofErr w:type="spellStart"/>
      <w:r w:rsidRPr="00061CE3">
        <w:rPr>
          <w:lang w:val="fr-CA"/>
        </w:rPr>
        <w:t>Aequum</w:t>
      </w:r>
      <w:proofErr w:type="spellEnd"/>
      <w:r w:rsidRPr="00061CE3">
        <w:rPr>
          <w:lang w:val="fr-CA"/>
        </w:rPr>
        <w:t xml:space="preserve"> Global Access Inc. </w:t>
      </w:r>
    </w:p>
    <w:p w14:paraId="743D571D" w14:textId="77777777" w:rsidR="00A02D6B" w:rsidRPr="00061CE3" w:rsidRDefault="00A02D6B" w:rsidP="003B0162">
      <w:pPr>
        <w:pStyle w:val="ListParagraph"/>
        <w:numPr>
          <w:ilvl w:val="0"/>
          <w:numId w:val="25"/>
        </w:numPr>
        <w:ind w:hanging="450"/>
      </w:pPr>
      <w:r w:rsidRPr="00061CE3">
        <w:rPr>
          <w:lang w:val="fr-CA"/>
        </w:rPr>
        <w:t xml:space="preserve">Ai-Media  </w:t>
      </w:r>
    </w:p>
    <w:p w14:paraId="7043EF3D" w14:textId="77777777" w:rsidR="00A02D6B" w:rsidRPr="00061CE3" w:rsidRDefault="00A02D6B" w:rsidP="003B0162">
      <w:pPr>
        <w:pStyle w:val="ListParagraph"/>
        <w:numPr>
          <w:ilvl w:val="0"/>
          <w:numId w:val="25"/>
        </w:numPr>
        <w:ind w:hanging="450"/>
      </w:pPr>
      <w:r w:rsidRPr="00061CE3">
        <w:rPr>
          <w:lang w:val="fr-CA"/>
        </w:rPr>
        <w:t xml:space="preserve">Collège algonquin  </w:t>
      </w:r>
    </w:p>
    <w:p w14:paraId="793DF32A" w14:textId="77777777" w:rsidR="00A02D6B" w:rsidRPr="00061CE3" w:rsidRDefault="00A02D6B" w:rsidP="003B0162">
      <w:pPr>
        <w:pStyle w:val="ListParagraph"/>
        <w:numPr>
          <w:ilvl w:val="0"/>
          <w:numId w:val="25"/>
        </w:numPr>
        <w:ind w:hanging="450"/>
      </w:pPr>
      <w:r w:rsidRPr="00061CE3">
        <w:t xml:space="preserve">Section de Toronto de la </w:t>
      </w:r>
      <w:r w:rsidRPr="00061CE3">
        <w:rPr>
          <w:i/>
          <w:iCs/>
        </w:rPr>
        <w:t>Alliance for Equality of Blind Canadians</w:t>
      </w:r>
      <w:r w:rsidRPr="00061CE3">
        <w:t xml:space="preserve">  </w:t>
      </w:r>
    </w:p>
    <w:p w14:paraId="58A683C6" w14:textId="77777777" w:rsidR="00A02D6B" w:rsidRPr="00061CE3" w:rsidRDefault="00A02D6B" w:rsidP="003B0162">
      <w:pPr>
        <w:pStyle w:val="ListParagraph"/>
        <w:numPr>
          <w:ilvl w:val="0"/>
          <w:numId w:val="25"/>
        </w:numPr>
        <w:ind w:hanging="450"/>
      </w:pPr>
      <w:proofErr w:type="spellStart"/>
      <w:r w:rsidRPr="00061CE3">
        <w:rPr>
          <w:lang w:val="fr-CA"/>
        </w:rPr>
        <w:t>Allied</w:t>
      </w:r>
      <w:proofErr w:type="spellEnd"/>
      <w:r w:rsidRPr="00061CE3">
        <w:rPr>
          <w:lang w:val="fr-CA"/>
        </w:rPr>
        <w:t xml:space="preserve"> </w:t>
      </w:r>
      <w:proofErr w:type="spellStart"/>
      <w:r w:rsidRPr="00061CE3">
        <w:rPr>
          <w:lang w:val="fr-CA"/>
        </w:rPr>
        <w:t>Therapy</w:t>
      </w:r>
      <w:proofErr w:type="spellEnd"/>
      <w:r w:rsidRPr="00061CE3">
        <w:rPr>
          <w:lang w:val="fr-CA"/>
        </w:rPr>
        <w:t xml:space="preserve">  </w:t>
      </w:r>
    </w:p>
    <w:p w14:paraId="071A23F7" w14:textId="77777777" w:rsidR="00A02D6B" w:rsidRPr="00061CE3" w:rsidRDefault="00A02D6B" w:rsidP="003B0162">
      <w:pPr>
        <w:pStyle w:val="ListParagraph"/>
        <w:numPr>
          <w:ilvl w:val="0"/>
          <w:numId w:val="25"/>
        </w:numPr>
        <w:ind w:hanging="450"/>
      </w:pPr>
      <w:r w:rsidRPr="00061CE3">
        <w:t xml:space="preserve">Association for the Rehabilitation of the Brain Injured  </w:t>
      </w:r>
    </w:p>
    <w:p w14:paraId="10E276D3" w14:textId="77777777" w:rsidR="00A02D6B" w:rsidRPr="00061CE3" w:rsidRDefault="00A02D6B" w:rsidP="003B0162">
      <w:pPr>
        <w:pStyle w:val="ListParagraph"/>
        <w:numPr>
          <w:ilvl w:val="0"/>
          <w:numId w:val="25"/>
        </w:numPr>
        <w:ind w:hanging="450"/>
      </w:pPr>
      <w:r w:rsidRPr="00061CE3">
        <w:rPr>
          <w:lang w:val="fr-CA"/>
        </w:rPr>
        <w:t xml:space="preserve">Alliance canadienne de l’autisme  </w:t>
      </w:r>
    </w:p>
    <w:p w14:paraId="5AF54A0D" w14:textId="77777777" w:rsidR="00A02D6B" w:rsidRPr="00061CE3" w:rsidRDefault="00A02D6B" w:rsidP="003B0162">
      <w:pPr>
        <w:pStyle w:val="ListParagraph"/>
        <w:numPr>
          <w:ilvl w:val="0"/>
          <w:numId w:val="25"/>
        </w:numPr>
        <w:ind w:hanging="450"/>
      </w:pPr>
      <w:r w:rsidRPr="00061CE3">
        <w:rPr>
          <w:lang w:val="fr-CA"/>
        </w:rPr>
        <w:t xml:space="preserve">BDO Canada LLP/BDO Consulting  </w:t>
      </w:r>
    </w:p>
    <w:p w14:paraId="0F26C6EB" w14:textId="77777777" w:rsidR="00A02D6B" w:rsidRPr="00061CE3" w:rsidRDefault="00A02D6B" w:rsidP="003B0162">
      <w:pPr>
        <w:pStyle w:val="ListParagraph"/>
        <w:numPr>
          <w:ilvl w:val="0"/>
          <w:numId w:val="25"/>
        </w:numPr>
        <w:ind w:hanging="450"/>
      </w:pPr>
      <w:r w:rsidRPr="00061CE3">
        <w:rPr>
          <w:lang w:val="fr-CA"/>
        </w:rPr>
        <w:t xml:space="preserve">Collège Bow Valley  </w:t>
      </w:r>
    </w:p>
    <w:p w14:paraId="5DA9D1F4" w14:textId="77777777" w:rsidR="00A02D6B" w:rsidRPr="00061CE3" w:rsidRDefault="00A02D6B" w:rsidP="003B0162">
      <w:pPr>
        <w:pStyle w:val="ListParagraph"/>
        <w:numPr>
          <w:ilvl w:val="0"/>
          <w:numId w:val="25"/>
        </w:numPr>
        <w:ind w:hanging="450"/>
      </w:pPr>
      <w:proofErr w:type="spellStart"/>
      <w:r w:rsidRPr="00061CE3">
        <w:rPr>
          <w:lang w:val="fr-CA"/>
        </w:rPr>
        <w:t>Branching</w:t>
      </w:r>
      <w:proofErr w:type="spellEnd"/>
      <w:r w:rsidRPr="00061CE3">
        <w:rPr>
          <w:lang w:val="fr-CA"/>
        </w:rPr>
        <w:t xml:space="preserve"> Out Support Services  </w:t>
      </w:r>
    </w:p>
    <w:p w14:paraId="56E85A67" w14:textId="77777777" w:rsidR="00A02D6B" w:rsidRPr="00061CE3" w:rsidRDefault="00A02D6B" w:rsidP="003B0162">
      <w:pPr>
        <w:pStyle w:val="ListParagraph"/>
        <w:numPr>
          <w:ilvl w:val="0"/>
          <w:numId w:val="25"/>
        </w:numPr>
        <w:ind w:hanging="450"/>
      </w:pPr>
      <w:r w:rsidRPr="00061CE3">
        <w:rPr>
          <w:lang w:val="fr-CA"/>
        </w:rPr>
        <w:t xml:space="preserve">Institut de recherche Bruyère  </w:t>
      </w:r>
    </w:p>
    <w:p w14:paraId="2AE0F650" w14:textId="77777777" w:rsidR="00A02D6B" w:rsidRPr="00061CE3" w:rsidRDefault="00A02D6B" w:rsidP="003B0162">
      <w:pPr>
        <w:pStyle w:val="ListParagraph"/>
        <w:numPr>
          <w:ilvl w:val="0"/>
          <w:numId w:val="25"/>
        </w:numPr>
        <w:ind w:hanging="450"/>
        <w:rPr>
          <w:lang w:val="fr-CA"/>
        </w:rPr>
      </w:pPr>
      <w:r w:rsidRPr="00061CE3">
        <w:rPr>
          <w:lang w:val="fr-CA"/>
        </w:rPr>
        <w:t xml:space="preserve">La Table ronde des affaires + de l’enseignement supérieur (TRAES) </w:t>
      </w:r>
    </w:p>
    <w:p w14:paraId="13562D30" w14:textId="77777777" w:rsidR="00A02D6B" w:rsidRPr="00061CE3" w:rsidRDefault="00A02D6B" w:rsidP="003B0162">
      <w:pPr>
        <w:pStyle w:val="ListParagraph"/>
        <w:numPr>
          <w:ilvl w:val="0"/>
          <w:numId w:val="25"/>
        </w:numPr>
        <w:ind w:hanging="450"/>
        <w:rPr>
          <w:lang w:val="fr-CA"/>
        </w:rPr>
      </w:pPr>
      <w:r w:rsidRPr="00061CE3">
        <w:rPr>
          <w:lang w:val="fr-CA"/>
        </w:rPr>
        <w:t xml:space="preserve">Agence des services frontaliers du Canada </w:t>
      </w:r>
    </w:p>
    <w:p w14:paraId="6C1040E8" w14:textId="77777777" w:rsidR="00A02D6B" w:rsidRPr="00061CE3" w:rsidRDefault="00A02D6B" w:rsidP="003B0162">
      <w:pPr>
        <w:pStyle w:val="ListParagraph"/>
        <w:numPr>
          <w:ilvl w:val="0"/>
          <w:numId w:val="25"/>
        </w:numPr>
        <w:ind w:hanging="450"/>
        <w:rPr>
          <w:lang w:val="fr-CA"/>
        </w:rPr>
      </w:pPr>
      <w:r w:rsidRPr="00061CE3">
        <w:rPr>
          <w:lang w:val="fr-CA"/>
        </w:rPr>
        <w:t xml:space="preserve">Agence des services frontaliers du Canada – Comité consultatif des personnes handicapées </w:t>
      </w:r>
    </w:p>
    <w:p w14:paraId="46970682" w14:textId="77777777" w:rsidR="00A02D6B" w:rsidRPr="00061CE3" w:rsidRDefault="00A02D6B" w:rsidP="003B0162">
      <w:pPr>
        <w:pStyle w:val="ListParagraph"/>
        <w:numPr>
          <w:ilvl w:val="0"/>
          <w:numId w:val="25"/>
        </w:numPr>
        <w:ind w:hanging="450"/>
      </w:pPr>
      <w:r w:rsidRPr="00061CE3">
        <w:rPr>
          <w:lang w:val="fr-CA"/>
        </w:rPr>
        <w:t xml:space="preserve">Postes Canada </w:t>
      </w:r>
    </w:p>
    <w:p w14:paraId="2AE17761" w14:textId="71266A69" w:rsidR="00A02D6B" w:rsidRPr="00061CE3" w:rsidRDefault="00A02D6B" w:rsidP="003B0162">
      <w:pPr>
        <w:pStyle w:val="ListParagraph"/>
        <w:numPr>
          <w:ilvl w:val="0"/>
          <w:numId w:val="25"/>
        </w:numPr>
        <w:ind w:hanging="450"/>
        <w:rPr>
          <w:lang w:val="fr-CA"/>
        </w:rPr>
      </w:pPr>
      <w:r w:rsidRPr="00061CE3">
        <w:rPr>
          <w:lang w:val="fr-CA"/>
        </w:rPr>
        <w:t xml:space="preserve">Agence du revenu du Canada – Division nationale de l’équité en matière d’emploi, la diversité et l’inclusion de la Direction générale des ressources humaines </w:t>
      </w:r>
    </w:p>
    <w:p w14:paraId="26AD8906" w14:textId="77777777" w:rsidR="00A02D6B" w:rsidRPr="00061CE3" w:rsidRDefault="00A02D6B" w:rsidP="003B0162">
      <w:pPr>
        <w:pStyle w:val="ListParagraph"/>
        <w:numPr>
          <w:ilvl w:val="0"/>
          <w:numId w:val="25"/>
        </w:numPr>
        <w:ind w:hanging="450"/>
      </w:pPr>
      <w:r w:rsidRPr="00061CE3">
        <w:rPr>
          <w:lang w:val="fr-CA"/>
        </w:rPr>
        <w:t xml:space="preserve">Canadian </w:t>
      </w:r>
      <w:proofErr w:type="spellStart"/>
      <w:r w:rsidRPr="00061CE3">
        <w:rPr>
          <w:lang w:val="fr-CA"/>
        </w:rPr>
        <w:t>Assistive</w:t>
      </w:r>
      <w:proofErr w:type="spellEnd"/>
      <w:r w:rsidRPr="00061CE3">
        <w:rPr>
          <w:lang w:val="fr-CA"/>
        </w:rPr>
        <w:t xml:space="preserve"> </w:t>
      </w:r>
      <w:proofErr w:type="spellStart"/>
      <w:r w:rsidRPr="00061CE3">
        <w:rPr>
          <w:lang w:val="fr-CA"/>
        </w:rPr>
        <w:t>Technology</w:t>
      </w:r>
      <w:proofErr w:type="spellEnd"/>
      <w:r w:rsidRPr="00061CE3">
        <w:rPr>
          <w:lang w:val="fr-CA"/>
        </w:rPr>
        <w:t xml:space="preserve"> </w:t>
      </w:r>
    </w:p>
    <w:p w14:paraId="6A6E7B47" w14:textId="77777777" w:rsidR="00A02D6B" w:rsidRPr="00061CE3" w:rsidRDefault="00A02D6B" w:rsidP="003B0162">
      <w:pPr>
        <w:pStyle w:val="ListParagraph"/>
        <w:numPr>
          <w:ilvl w:val="0"/>
          <w:numId w:val="25"/>
        </w:numPr>
        <w:ind w:hanging="450"/>
        <w:rPr>
          <w:lang w:val="fr-CA"/>
        </w:rPr>
      </w:pPr>
      <w:r w:rsidRPr="00061CE3">
        <w:rPr>
          <w:lang w:val="fr-CA"/>
        </w:rPr>
        <w:t xml:space="preserve">Association canadienne de soutien à l’emploi </w:t>
      </w:r>
    </w:p>
    <w:p w14:paraId="2B7C334D" w14:textId="77777777" w:rsidR="00A02D6B" w:rsidRPr="00061CE3" w:rsidRDefault="00A02D6B" w:rsidP="003B0162">
      <w:pPr>
        <w:pStyle w:val="ListParagraph"/>
        <w:numPr>
          <w:ilvl w:val="0"/>
          <w:numId w:val="25"/>
        </w:numPr>
        <w:ind w:hanging="450"/>
      </w:pPr>
      <w:r w:rsidRPr="00061CE3">
        <w:rPr>
          <w:lang w:val="fr-CA"/>
        </w:rPr>
        <w:t xml:space="preserve">Chambre de commerce du Canada </w:t>
      </w:r>
    </w:p>
    <w:p w14:paraId="56C8E903" w14:textId="77777777" w:rsidR="00A02D6B" w:rsidRPr="00061CE3" w:rsidRDefault="00A02D6B" w:rsidP="003B0162">
      <w:pPr>
        <w:pStyle w:val="ListParagraph"/>
        <w:numPr>
          <w:ilvl w:val="0"/>
          <w:numId w:val="25"/>
        </w:numPr>
        <w:ind w:hanging="450"/>
        <w:rPr>
          <w:lang w:val="fr-CA"/>
        </w:rPr>
      </w:pPr>
      <w:r w:rsidRPr="00061CE3">
        <w:rPr>
          <w:lang w:val="fr-CA"/>
        </w:rPr>
        <w:t xml:space="preserve">Conseil canadien de la réadaptation et du travail </w:t>
      </w:r>
    </w:p>
    <w:p w14:paraId="74A00256" w14:textId="77777777" w:rsidR="00A02D6B" w:rsidRPr="00061CE3" w:rsidRDefault="00A02D6B" w:rsidP="003B0162">
      <w:pPr>
        <w:pStyle w:val="ListParagraph"/>
        <w:numPr>
          <w:ilvl w:val="0"/>
          <w:numId w:val="25"/>
        </w:numPr>
        <w:ind w:hanging="450"/>
      </w:pPr>
      <w:r w:rsidRPr="00061CE3">
        <w:rPr>
          <w:lang w:val="fr-CA"/>
        </w:rPr>
        <w:t xml:space="preserve">Association canadienne de soins palliatifs </w:t>
      </w:r>
    </w:p>
    <w:p w14:paraId="39868CD0" w14:textId="77777777" w:rsidR="00A02D6B" w:rsidRPr="00061CE3" w:rsidRDefault="00A02D6B" w:rsidP="003B0162">
      <w:pPr>
        <w:pStyle w:val="ListParagraph"/>
        <w:numPr>
          <w:ilvl w:val="0"/>
          <w:numId w:val="25"/>
        </w:numPr>
        <w:ind w:hanging="450"/>
      </w:pPr>
      <w:proofErr w:type="spellStart"/>
      <w:r w:rsidRPr="00061CE3">
        <w:rPr>
          <w:lang w:val="fr-CA"/>
        </w:rPr>
        <w:lastRenderedPageBreak/>
        <w:t>Capco</w:t>
      </w:r>
      <w:proofErr w:type="spellEnd"/>
      <w:r w:rsidRPr="00061CE3">
        <w:rPr>
          <w:lang w:val="fr-CA"/>
        </w:rPr>
        <w:t xml:space="preserve"> Canada </w:t>
      </w:r>
    </w:p>
    <w:p w14:paraId="79D4CCDE" w14:textId="77777777" w:rsidR="00A02D6B" w:rsidRPr="00061CE3" w:rsidRDefault="00A02D6B" w:rsidP="003B0162">
      <w:pPr>
        <w:pStyle w:val="ListParagraph"/>
        <w:numPr>
          <w:ilvl w:val="0"/>
          <w:numId w:val="25"/>
        </w:numPr>
        <w:ind w:hanging="450"/>
      </w:pPr>
      <w:r w:rsidRPr="00061CE3">
        <w:rPr>
          <w:lang w:val="fr-CA"/>
        </w:rPr>
        <w:t xml:space="preserve">Université Carleton </w:t>
      </w:r>
    </w:p>
    <w:p w14:paraId="73C46186" w14:textId="77777777" w:rsidR="00A02D6B" w:rsidRPr="00061CE3" w:rsidRDefault="00A02D6B" w:rsidP="003B0162">
      <w:pPr>
        <w:pStyle w:val="ListParagraph"/>
        <w:numPr>
          <w:ilvl w:val="0"/>
          <w:numId w:val="25"/>
        </w:numPr>
        <w:ind w:hanging="450"/>
      </w:pPr>
      <w:r w:rsidRPr="00061CE3">
        <w:rPr>
          <w:lang w:val="fr-CA"/>
        </w:rPr>
        <w:t xml:space="preserve">CBC/Radio-Canada </w:t>
      </w:r>
    </w:p>
    <w:p w14:paraId="4FDE3BB4" w14:textId="77777777" w:rsidR="00A02D6B" w:rsidRPr="00061CE3" w:rsidRDefault="00A02D6B" w:rsidP="003B0162">
      <w:pPr>
        <w:pStyle w:val="ListParagraph"/>
        <w:numPr>
          <w:ilvl w:val="0"/>
          <w:numId w:val="25"/>
        </w:numPr>
        <w:ind w:hanging="450"/>
      </w:pPr>
      <w:r w:rsidRPr="00061CE3">
        <w:rPr>
          <w:lang w:val="fr-CA"/>
        </w:rPr>
        <w:t xml:space="preserve">CDP Communications </w:t>
      </w:r>
      <w:proofErr w:type="spellStart"/>
      <w:r w:rsidRPr="00061CE3">
        <w:rPr>
          <w:lang w:val="fr-CA"/>
        </w:rPr>
        <w:t>inc.</w:t>
      </w:r>
      <w:proofErr w:type="spellEnd"/>
      <w:r w:rsidRPr="00061CE3">
        <w:rPr>
          <w:lang w:val="fr-CA"/>
        </w:rPr>
        <w:t xml:space="preserve"> </w:t>
      </w:r>
    </w:p>
    <w:p w14:paraId="1BA54322" w14:textId="77777777" w:rsidR="00A02D6B" w:rsidRPr="00061CE3" w:rsidRDefault="00A02D6B" w:rsidP="003B0162">
      <w:pPr>
        <w:pStyle w:val="ListParagraph"/>
        <w:numPr>
          <w:ilvl w:val="0"/>
          <w:numId w:val="25"/>
        </w:numPr>
        <w:ind w:hanging="450"/>
      </w:pPr>
      <w:r w:rsidRPr="00061CE3">
        <w:rPr>
          <w:lang w:val="fr-CA"/>
        </w:rPr>
        <w:t xml:space="preserve">Centre d’accès équitable aux bibliothèques   </w:t>
      </w:r>
    </w:p>
    <w:p w14:paraId="2E0D218E" w14:textId="77777777" w:rsidR="00A02D6B" w:rsidRPr="00061CE3" w:rsidRDefault="00A02D6B" w:rsidP="003B0162">
      <w:pPr>
        <w:pStyle w:val="ListParagraph"/>
        <w:numPr>
          <w:ilvl w:val="0"/>
          <w:numId w:val="25"/>
        </w:numPr>
        <w:ind w:hanging="450"/>
      </w:pPr>
      <w:r w:rsidRPr="00061CE3">
        <w:rPr>
          <w:lang w:val="fr-CA"/>
        </w:rPr>
        <w:t xml:space="preserve">Ville d’Ottawa </w:t>
      </w:r>
    </w:p>
    <w:p w14:paraId="48CD12E3" w14:textId="77777777" w:rsidR="00A02D6B" w:rsidRPr="00061CE3" w:rsidRDefault="00A02D6B" w:rsidP="003B0162">
      <w:pPr>
        <w:pStyle w:val="ListParagraph"/>
        <w:numPr>
          <w:ilvl w:val="0"/>
          <w:numId w:val="25"/>
        </w:numPr>
        <w:ind w:hanging="450"/>
      </w:pPr>
      <w:r w:rsidRPr="00061CE3">
        <w:rPr>
          <w:lang w:val="fr-CA"/>
        </w:rPr>
        <w:t xml:space="preserve">Fondation INCA </w:t>
      </w:r>
    </w:p>
    <w:p w14:paraId="7E5A612F" w14:textId="77777777" w:rsidR="00A02D6B" w:rsidRPr="00061CE3" w:rsidRDefault="00A02D6B" w:rsidP="003B0162">
      <w:pPr>
        <w:pStyle w:val="ListParagraph"/>
        <w:numPr>
          <w:ilvl w:val="0"/>
          <w:numId w:val="25"/>
        </w:numPr>
        <w:ind w:hanging="450"/>
      </w:pPr>
      <w:proofErr w:type="spellStart"/>
      <w:r w:rsidRPr="00061CE3">
        <w:rPr>
          <w:lang w:val="fr-CA"/>
        </w:rPr>
        <w:t>Collaborate</w:t>
      </w:r>
      <w:proofErr w:type="spellEnd"/>
      <w:r w:rsidRPr="00061CE3">
        <w:rPr>
          <w:lang w:val="fr-CA"/>
        </w:rPr>
        <w:t xml:space="preserve"> </w:t>
      </w:r>
      <w:proofErr w:type="spellStart"/>
      <w:r w:rsidRPr="00061CE3">
        <w:rPr>
          <w:lang w:val="fr-CA"/>
        </w:rPr>
        <w:t>Video</w:t>
      </w:r>
      <w:proofErr w:type="spellEnd"/>
      <w:r w:rsidRPr="00061CE3">
        <w:rPr>
          <w:lang w:val="fr-CA"/>
        </w:rPr>
        <w:t xml:space="preserve"> </w:t>
      </w:r>
    </w:p>
    <w:p w14:paraId="6C4F364B" w14:textId="77777777" w:rsidR="00A02D6B" w:rsidRPr="00061CE3" w:rsidRDefault="00A02D6B" w:rsidP="003B0162">
      <w:pPr>
        <w:pStyle w:val="ListParagraph"/>
        <w:numPr>
          <w:ilvl w:val="0"/>
          <w:numId w:val="25"/>
        </w:numPr>
        <w:ind w:hanging="450"/>
      </w:pPr>
      <w:r w:rsidRPr="00061CE3">
        <w:rPr>
          <w:lang w:val="fr-CA"/>
        </w:rPr>
        <w:t xml:space="preserve">Community Futures Manitoba  </w:t>
      </w:r>
    </w:p>
    <w:p w14:paraId="35E2BC94" w14:textId="77777777" w:rsidR="00A02D6B" w:rsidRPr="00061CE3" w:rsidRDefault="00A02D6B" w:rsidP="003B0162">
      <w:pPr>
        <w:pStyle w:val="ListParagraph"/>
        <w:numPr>
          <w:ilvl w:val="0"/>
          <w:numId w:val="25"/>
        </w:numPr>
        <w:ind w:hanging="450"/>
      </w:pPr>
      <w:r w:rsidRPr="00061CE3">
        <w:rPr>
          <w:lang w:val="fr-CA"/>
        </w:rPr>
        <w:t xml:space="preserve">D2L Desire2Learn </w:t>
      </w:r>
    </w:p>
    <w:p w14:paraId="566951CE" w14:textId="77777777" w:rsidR="00A02D6B" w:rsidRPr="00061CE3" w:rsidRDefault="00A02D6B" w:rsidP="003B0162">
      <w:pPr>
        <w:pStyle w:val="ListParagraph"/>
        <w:numPr>
          <w:ilvl w:val="0"/>
          <w:numId w:val="25"/>
        </w:numPr>
        <w:ind w:hanging="450"/>
      </w:pPr>
      <w:r w:rsidRPr="00061CE3">
        <w:rPr>
          <w:lang w:val="fr-CA"/>
        </w:rPr>
        <w:t xml:space="preserve">Université Dalhousie </w:t>
      </w:r>
    </w:p>
    <w:p w14:paraId="21743616" w14:textId="77777777" w:rsidR="00A02D6B" w:rsidRPr="00061CE3" w:rsidRDefault="00A02D6B" w:rsidP="003B0162">
      <w:pPr>
        <w:pStyle w:val="ListParagraph"/>
        <w:numPr>
          <w:ilvl w:val="0"/>
          <w:numId w:val="25"/>
        </w:numPr>
        <w:ind w:hanging="450"/>
      </w:pPr>
      <w:r w:rsidRPr="00061CE3">
        <w:rPr>
          <w:lang w:val="fr-CA"/>
        </w:rPr>
        <w:t xml:space="preserve">Service ontarien de la </w:t>
      </w:r>
      <w:proofErr w:type="spellStart"/>
      <w:r w:rsidRPr="00061CE3">
        <w:rPr>
          <w:lang w:val="fr-CA"/>
        </w:rPr>
        <w:t>surdicécité</w:t>
      </w:r>
      <w:proofErr w:type="spellEnd"/>
      <w:r w:rsidRPr="00061CE3">
        <w:rPr>
          <w:lang w:val="fr-CA"/>
        </w:rPr>
        <w:t xml:space="preserve">  </w:t>
      </w:r>
    </w:p>
    <w:p w14:paraId="024BB334" w14:textId="77777777" w:rsidR="00A02D6B" w:rsidRPr="00061CE3" w:rsidRDefault="00A02D6B" w:rsidP="003B0162">
      <w:pPr>
        <w:pStyle w:val="ListParagraph"/>
        <w:numPr>
          <w:ilvl w:val="0"/>
          <w:numId w:val="25"/>
        </w:numPr>
        <w:ind w:hanging="450"/>
      </w:pPr>
      <w:proofErr w:type="spellStart"/>
      <w:r w:rsidRPr="00061CE3">
        <w:rPr>
          <w:lang w:val="fr-CA"/>
        </w:rPr>
        <w:t>Disability</w:t>
      </w:r>
      <w:proofErr w:type="spellEnd"/>
      <w:r w:rsidRPr="00061CE3">
        <w:rPr>
          <w:lang w:val="fr-CA"/>
        </w:rPr>
        <w:t xml:space="preserve"> Alliance BC </w:t>
      </w:r>
    </w:p>
    <w:p w14:paraId="2D2670C3" w14:textId="77777777" w:rsidR="00A02D6B" w:rsidRPr="00061CE3" w:rsidRDefault="00A02D6B" w:rsidP="003B0162">
      <w:pPr>
        <w:pStyle w:val="ListParagraph"/>
        <w:numPr>
          <w:ilvl w:val="0"/>
          <w:numId w:val="25"/>
        </w:numPr>
        <w:ind w:hanging="450"/>
      </w:pPr>
      <w:proofErr w:type="spellStart"/>
      <w:r w:rsidRPr="00061CE3">
        <w:rPr>
          <w:lang w:val="fr-CA"/>
        </w:rPr>
        <w:t>Disability</w:t>
      </w:r>
      <w:proofErr w:type="spellEnd"/>
      <w:r w:rsidRPr="00061CE3">
        <w:rPr>
          <w:lang w:val="fr-CA"/>
        </w:rPr>
        <w:t xml:space="preserve"> </w:t>
      </w:r>
      <w:proofErr w:type="spellStart"/>
      <w:r w:rsidRPr="00061CE3">
        <w:rPr>
          <w:lang w:val="fr-CA"/>
        </w:rPr>
        <w:t>Foundation</w:t>
      </w:r>
      <w:proofErr w:type="spellEnd"/>
      <w:r w:rsidRPr="00061CE3">
        <w:rPr>
          <w:lang w:val="fr-CA"/>
        </w:rPr>
        <w:t xml:space="preserve"> </w:t>
      </w:r>
    </w:p>
    <w:p w14:paraId="36C0BC63" w14:textId="77777777" w:rsidR="00A02D6B" w:rsidRPr="00061CE3" w:rsidRDefault="00A02D6B" w:rsidP="003B0162">
      <w:pPr>
        <w:pStyle w:val="ListParagraph"/>
        <w:numPr>
          <w:ilvl w:val="0"/>
          <w:numId w:val="25"/>
        </w:numPr>
        <w:ind w:hanging="450"/>
      </w:pPr>
      <w:proofErr w:type="spellStart"/>
      <w:r w:rsidRPr="00061CE3">
        <w:rPr>
          <w:lang w:val="fr-CA"/>
        </w:rPr>
        <w:t>Distinctability</w:t>
      </w:r>
      <w:proofErr w:type="spellEnd"/>
      <w:r w:rsidRPr="00061CE3">
        <w:rPr>
          <w:lang w:val="fr-CA"/>
        </w:rPr>
        <w:t xml:space="preserve"> Ltd.  </w:t>
      </w:r>
    </w:p>
    <w:p w14:paraId="1B0800C0" w14:textId="77777777" w:rsidR="00A02D6B" w:rsidRPr="00061CE3" w:rsidRDefault="00A02D6B" w:rsidP="003B0162">
      <w:pPr>
        <w:pStyle w:val="ListParagraph"/>
        <w:numPr>
          <w:ilvl w:val="0"/>
          <w:numId w:val="25"/>
        </w:numPr>
        <w:ind w:hanging="450"/>
        <w:rPr>
          <w:lang w:val="fr-CA"/>
        </w:rPr>
      </w:pPr>
      <w:r w:rsidRPr="00061CE3">
        <w:rPr>
          <w:lang w:val="fr-CA"/>
        </w:rPr>
        <w:t xml:space="preserve">Partenariat en accès, informations et ressources d’emploi  </w:t>
      </w:r>
    </w:p>
    <w:p w14:paraId="1D1196FA" w14:textId="77777777" w:rsidR="00A02D6B" w:rsidRPr="00061CE3" w:rsidRDefault="00A02D6B" w:rsidP="003B0162">
      <w:pPr>
        <w:pStyle w:val="ListParagraph"/>
        <w:numPr>
          <w:ilvl w:val="0"/>
          <w:numId w:val="25"/>
        </w:numPr>
        <w:ind w:hanging="450"/>
      </w:pPr>
      <w:r w:rsidRPr="00061CE3">
        <w:rPr>
          <w:lang w:val="fr-CA"/>
        </w:rPr>
        <w:t xml:space="preserve">Espace MUNI </w:t>
      </w:r>
    </w:p>
    <w:p w14:paraId="46D9A466" w14:textId="77777777" w:rsidR="00A02D6B" w:rsidRPr="00061CE3" w:rsidRDefault="00A02D6B" w:rsidP="003B0162">
      <w:pPr>
        <w:pStyle w:val="ListParagraph"/>
        <w:numPr>
          <w:ilvl w:val="0"/>
          <w:numId w:val="25"/>
        </w:numPr>
        <w:ind w:hanging="450"/>
      </w:pPr>
      <w:r w:rsidRPr="00061CE3">
        <w:rPr>
          <w:lang w:val="fr-CA"/>
        </w:rPr>
        <w:t xml:space="preserve">Chaque Canadien compte </w:t>
      </w:r>
    </w:p>
    <w:p w14:paraId="2684C402" w14:textId="77777777" w:rsidR="00A02D6B" w:rsidRPr="00061CE3" w:rsidRDefault="00A02D6B" w:rsidP="003B0162">
      <w:pPr>
        <w:pStyle w:val="ListParagraph"/>
        <w:numPr>
          <w:ilvl w:val="0"/>
          <w:numId w:val="25"/>
        </w:numPr>
        <w:ind w:hanging="450"/>
        <w:rPr>
          <w:lang w:val="fr-CA"/>
        </w:rPr>
      </w:pPr>
      <w:proofErr w:type="spellStart"/>
      <w:r w:rsidRPr="00061CE3">
        <w:rPr>
          <w:lang w:val="fr-CA"/>
        </w:rPr>
        <w:t>Eviance</w:t>
      </w:r>
      <w:proofErr w:type="spellEnd"/>
      <w:r w:rsidRPr="00061CE3">
        <w:rPr>
          <w:lang w:val="fr-CA"/>
        </w:rPr>
        <w:t xml:space="preserve"> (Centre canadien d’études sur le handicap) </w:t>
      </w:r>
    </w:p>
    <w:p w14:paraId="4E604A3B" w14:textId="77777777" w:rsidR="00A02D6B" w:rsidRPr="00061CE3" w:rsidRDefault="00A02D6B" w:rsidP="003B0162">
      <w:pPr>
        <w:pStyle w:val="ListParagraph"/>
        <w:numPr>
          <w:ilvl w:val="0"/>
          <w:numId w:val="25"/>
        </w:numPr>
        <w:ind w:hanging="450"/>
      </w:pPr>
      <w:r w:rsidRPr="00061CE3">
        <w:rPr>
          <w:lang w:val="fr-CA"/>
        </w:rPr>
        <w:t xml:space="preserve">EY Canada  </w:t>
      </w:r>
    </w:p>
    <w:p w14:paraId="5F0C9A8A" w14:textId="77777777" w:rsidR="00A02D6B" w:rsidRPr="00061CE3" w:rsidRDefault="00A02D6B" w:rsidP="003B0162">
      <w:pPr>
        <w:pStyle w:val="ListParagraph"/>
        <w:numPr>
          <w:ilvl w:val="0"/>
          <w:numId w:val="25"/>
        </w:numPr>
        <w:ind w:hanging="450"/>
      </w:pPr>
      <w:r w:rsidRPr="00061CE3">
        <w:rPr>
          <w:lang w:val="fr-CA"/>
        </w:rPr>
        <w:t xml:space="preserve">Fable </w:t>
      </w:r>
    </w:p>
    <w:p w14:paraId="01918990" w14:textId="77777777" w:rsidR="00A02D6B" w:rsidRPr="00061CE3" w:rsidRDefault="00A02D6B" w:rsidP="003B0162">
      <w:pPr>
        <w:pStyle w:val="ListParagraph"/>
        <w:numPr>
          <w:ilvl w:val="0"/>
          <w:numId w:val="25"/>
        </w:numPr>
        <w:ind w:hanging="450"/>
      </w:pPr>
      <w:proofErr w:type="spellStart"/>
      <w:r w:rsidRPr="00061CE3">
        <w:rPr>
          <w:lang w:val="fr-CA"/>
        </w:rPr>
        <w:t>Fair</w:t>
      </w:r>
      <w:proofErr w:type="spellEnd"/>
      <w:r w:rsidRPr="00061CE3">
        <w:rPr>
          <w:lang w:val="fr-CA"/>
        </w:rPr>
        <w:t xml:space="preserve"> Chance Learning  </w:t>
      </w:r>
    </w:p>
    <w:p w14:paraId="4756FC3B" w14:textId="00F9CE43" w:rsidR="00A02D6B" w:rsidRPr="00061CE3" w:rsidRDefault="00A02D6B" w:rsidP="003B0162">
      <w:pPr>
        <w:pStyle w:val="ListParagraph"/>
        <w:numPr>
          <w:ilvl w:val="0"/>
          <w:numId w:val="25"/>
        </w:numPr>
        <w:ind w:hanging="450"/>
        <w:rPr>
          <w:lang w:val="fr-CA"/>
        </w:rPr>
      </w:pPr>
      <w:r w:rsidRPr="00061CE3">
        <w:rPr>
          <w:lang w:val="fr-CA"/>
        </w:rPr>
        <w:t xml:space="preserve">Bureau du dirigeant principal des ressources humaines du gouvernement du Nouveau-Brunswick </w:t>
      </w:r>
    </w:p>
    <w:p w14:paraId="6F172FA2" w14:textId="77777777" w:rsidR="00A02D6B" w:rsidRPr="00061CE3" w:rsidRDefault="00A02D6B" w:rsidP="003B0162">
      <w:pPr>
        <w:pStyle w:val="ListParagraph"/>
        <w:numPr>
          <w:ilvl w:val="0"/>
          <w:numId w:val="25"/>
        </w:numPr>
        <w:ind w:hanging="450"/>
      </w:pPr>
      <w:r w:rsidRPr="00061CE3">
        <w:rPr>
          <w:lang w:val="fr-CA"/>
        </w:rPr>
        <w:t xml:space="preserve">Municipalité régionale de Halifax </w:t>
      </w:r>
    </w:p>
    <w:p w14:paraId="678B5B1A" w14:textId="77777777" w:rsidR="00A02D6B" w:rsidRPr="00061CE3" w:rsidRDefault="00A02D6B" w:rsidP="003B0162">
      <w:pPr>
        <w:pStyle w:val="ListParagraph"/>
        <w:numPr>
          <w:ilvl w:val="0"/>
          <w:numId w:val="25"/>
        </w:numPr>
        <w:ind w:hanging="450"/>
      </w:pPr>
      <w:proofErr w:type="spellStart"/>
      <w:r w:rsidRPr="00061CE3">
        <w:rPr>
          <w:lang w:val="fr-CA"/>
        </w:rPr>
        <w:t>Hidden</w:t>
      </w:r>
      <w:proofErr w:type="spellEnd"/>
      <w:r w:rsidRPr="00061CE3">
        <w:rPr>
          <w:lang w:val="fr-CA"/>
        </w:rPr>
        <w:t xml:space="preserve"> </w:t>
      </w:r>
      <w:proofErr w:type="spellStart"/>
      <w:r w:rsidRPr="00061CE3">
        <w:rPr>
          <w:lang w:val="fr-CA"/>
        </w:rPr>
        <w:t>Mobility</w:t>
      </w:r>
      <w:proofErr w:type="spellEnd"/>
      <w:r w:rsidRPr="00061CE3">
        <w:rPr>
          <w:lang w:val="fr-CA"/>
        </w:rPr>
        <w:t xml:space="preserve"> </w:t>
      </w:r>
      <w:proofErr w:type="spellStart"/>
      <w:r w:rsidRPr="00061CE3">
        <w:rPr>
          <w:lang w:val="fr-CA"/>
        </w:rPr>
        <w:t>Disabilities</w:t>
      </w:r>
      <w:proofErr w:type="spellEnd"/>
      <w:r w:rsidRPr="00061CE3">
        <w:rPr>
          <w:lang w:val="fr-CA"/>
        </w:rPr>
        <w:t xml:space="preserve"> Alliance </w:t>
      </w:r>
    </w:p>
    <w:p w14:paraId="6832DB05" w14:textId="77777777" w:rsidR="00A02D6B" w:rsidRPr="00061CE3" w:rsidRDefault="00A02D6B" w:rsidP="003B0162">
      <w:pPr>
        <w:pStyle w:val="ListParagraph"/>
        <w:numPr>
          <w:ilvl w:val="0"/>
          <w:numId w:val="25"/>
        </w:numPr>
        <w:ind w:hanging="450"/>
      </w:pPr>
      <w:r w:rsidRPr="00061CE3">
        <w:rPr>
          <w:lang w:val="fr-CA"/>
        </w:rPr>
        <w:t xml:space="preserve">Home Sharing Support Society BC </w:t>
      </w:r>
    </w:p>
    <w:p w14:paraId="02094236" w14:textId="77777777" w:rsidR="00A02D6B" w:rsidRPr="00061CE3" w:rsidRDefault="00A02D6B" w:rsidP="003B0162">
      <w:pPr>
        <w:pStyle w:val="ListParagraph"/>
        <w:numPr>
          <w:ilvl w:val="0"/>
          <w:numId w:val="25"/>
        </w:numPr>
        <w:ind w:hanging="450"/>
      </w:pPr>
      <w:r w:rsidRPr="00061CE3">
        <w:rPr>
          <w:lang w:val="fr-CA"/>
        </w:rPr>
        <w:t xml:space="preserve">Inclusion BC </w:t>
      </w:r>
    </w:p>
    <w:p w14:paraId="383DBA9B" w14:textId="77777777" w:rsidR="00A02D6B" w:rsidRPr="00061CE3" w:rsidRDefault="00A02D6B" w:rsidP="003B0162">
      <w:pPr>
        <w:pStyle w:val="ListParagraph"/>
        <w:numPr>
          <w:ilvl w:val="0"/>
          <w:numId w:val="25"/>
        </w:numPr>
        <w:ind w:hanging="450"/>
      </w:pPr>
      <w:r w:rsidRPr="00061CE3">
        <w:rPr>
          <w:lang w:val="fr-CA"/>
        </w:rPr>
        <w:t xml:space="preserve">Inclusion Nova Scotia </w:t>
      </w:r>
    </w:p>
    <w:p w14:paraId="332C8D80" w14:textId="77777777" w:rsidR="00A02D6B" w:rsidRPr="00061CE3" w:rsidRDefault="00A02D6B" w:rsidP="003B0162">
      <w:pPr>
        <w:pStyle w:val="ListParagraph"/>
        <w:numPr>
          <w:ilvl w:val="0"/>
          <w:numId w:val="25"/>
        </w:numPr>
        <w:ind w:hanging="450"/>
      </w:pPr>
      <w:r w:rsidRPr="00061CE3">
        <w:rPr>
          <w:lang w:val="fr-CA"/>
        </w:rPr>
        <w:t xml:space="preserve">Société inclusive </w:t>
      </w:r>
    </w:p>
    <w:p w14:paraId="4F3D3307" w14:textId="77777777" w:rsidR="00A02D6B" w:rsidRPr="00061CE3" w:rsidRDefault="00A02D6B" w:rsidP="003B0162">
      <w:pPr>
        <w:pStyle w:val="ListParagraph"/>
        <w:numPr>
          <w:ilvl w:val="0"/>
          <w:numId w:val="25"/>
        </w:numPr>
        <w:ind w:hanging="450"/>
      </w:pPr>
      <w:r w:rsidRPr="00061CE3">
        <w:t xml:space="preserve">Inclusive Workplace and Supply Council of Canada  </w:t>
      </w:r>
    </w:p>
    <w:p w14:paraId="79DB70FA" w14:textId="77777777" w:rsidR="00A02D6B" w:rsidRPr="00061CE3" w:rsidRDefault="00A02D6B" w:rsidP="003B0162">
      <w:pPr>
        <w:pStyle w:val="ListParagraph"/>
        <w:numPr>
          <w:ilvl w:val="0"/>
          <w:numId w:val="25"/>
        </w:numPr>
        <w:ind w:hanging="450"/>
      </w:pPr>
      <w:r w:rsidRPr="00061CE3">
        <w:rPr>
          <w:lang w:val="fr-CA"/>
        </w:rPr>
        <w:t xml:space="preserve">Vie autonome Canada </w:t>
      </w:r>
    </w:p>
    <w:p w14:paraId="728A1410" w14:textId="77777777" w:rsidR="00A02D6B" w:rsidRPr="00061CE3" w:rsidRDefault="00A02D6B" w:rsidP="003B0162">
      <w:pPr>
        <w:pStyle w:val="ListParagraph"/>
        <w:numPr>
          <w:ilvl w:val="0"/>
          <w:numId w:val="25"/>
        </w:numPr>
        <w:ind w:hanging="450"/>
      </w:pPr>
      <w:proofErr w:type="spellStart"/>
      <w:r w:rsidRPr="00061CE3">
        <w:rPr>
          <w:lang w:val="fr-CA"/>
        </w:rPr>
        <w:t>Infinity</w:t>
      </w:r>
      <w:proofErr w:type="spellEnd"/>
      <w:r w:rsidRPr="00061CE3">
        <w:rPr>
          <w:lang w:val="fr-CA"/>
        </w:rPr>
        <w:t xml:space="preserve"> </w:t>
      </w:r>
    </w:p>
    <w:p w14:paraId="3630A3B9" w14:textId="77777777" w:rsidR="00A02D6B" w:rsidRPr="00061CE3" w:rsidRDefault="00A02D6B" w:rsidP="003B0162">
      <w:pPr>
        <w:pStyle w:val="ListParagraph"/>
        <w:numPr>
          <w:ilvl w:val="0"/>
          <w:numId w:val="25"/>
        </w:numPr>
        <w:ind w:hanging="450"/>
      </w:pPr>
      <w:proofErr w:type="spellStart"/>
      <w:r w:rsidRPr="00061CE3">
        <w:rPr>
          <w:lang w:val="fr-CA"/>
        </w:rPr>
        <w:t>Ingenium</w:t>
      </w:r>
      <w:proofErr w:type="spellEnd"/>
      <w:r w:rsidRPr="00061CE3">
        <w:rPr>
          <w:lang w:val="fr-CA"/>
        </w:rPr>
        <w:t xml:space="preserve"> </w:t>
      </w:r>
    </w:p>
    <w:p w14:paraId="0305B811" w14:textId="77777777" w:rsidR="00A02D6B" w:rsidRPr="00061CE3" w:rsidRDefault="00A02D6B" w:rsidP="003B0162">
      <w:pPr>
        <w:pStyle w:val="ListParagraph"/>
        <w:numPr>
          <w:ilvl w:val="0"/>
          <w:numId w:val="25"/>
        </w:numPr>
        <w:ind w:hanging="450"/>
      </w:pPr>
      <w:r w:rsidRPr="00061CE3">
        <w:rPr>
          <w:lang w:val="fr-CA"/>
        </w:rPr>
        <w:t xml:space="preserve">L’Arche Canada </w:t>
      </w:r>
    </w:p>
    <w:p w14:paraId="0D731F13" w14:textId="77777777" w:rsidR="00A02D6B" w:rsidRPr="00061CE3" w:rsidRDefault="00A02D6B" w:rsidP="003B0162">
      <w:pPr>
        <w:pStyle w:val="ListParagraph"/>
        <w:numPr>
          <w:ilvl w:val="0"/>
          <w:numId w:val="25"/>
        </w:numPr>
        <w:ind w:hanging="450"/>
      </w:pPr>
      <w:r w:rsidRPr="00061CE3">
        <w:rPr>
          <w:lang w:val="fr-CA"/>
        </w:rPr>
        <w:t xml:space="preserve">La Cité </w:t>
      </w:r>
    </w:p>
    <w:p w14:paraId="147BC68B" w14:textId="77777777" w:rsidR="00A02D6B" w:rsidRPr="00061CE3" w:rsidRDefault="00A02D6B" w:rsidP="003B0162">
      <w:pPr>
        <w:pStyle w:val="ListParagraph"/>
        <w:numPr>
          <w:ilvl w:val="0"/>
          <w:numId w:val="25"/>
        </w:numPr>
        <w:ind w:hanging="450"/>
      </w:pPr>
      <w:proofErr w:type="spellStart"/>
      <w:r w:rsidRPr="00061CE3">
        <w:rPr>
          <w:lang w:val="fr-CA"/>
        </w:rPr>
        <w:t>Left</w:t>
      </w:r>
      <w:proofErr w:type="spellEnd"/>
      <w:r w:rsidRPr="00061CE3">
        <w:rPr>
          <w:lang w:val="fr-CA"/>
        </w:rPr>
        <w:t xml:space="preserve"> </w:t>
      </w:r>
      <w:proofErr w:type="spellStart"/>
      <w:r w:rsidRPr="00061CE3">
        <w:rPr>
          <w:lang w:val="fr-CA"/>
        </w:rPr>
        <w:t>Turn</w:t>
      </w:r>
      <w:proofErr w:type="spellEnd"/>
      <w:r w:rsidRPr="00061CE3">
        <w:rPr>
          <w:lang w:val="fr-CA"/>
        </w:rPr>
        <w:t xml:space="preserve"> Right </w:t>
      </w:r>
      <w:proofErr w:type="spellStart"/>
      <w:r w:rsidRPr="00061CE3">
        <w:rPr>
          <w:lang w:val="fr-CA"/>
        </w:rPr>
        <w:t>Turn</w:t>
      </w:r>
      <w:proofErr w:type="spellEnd"/>
      <w:r w:rsidRPr="00061CE3">
        <w:rPr>
          <w:lang w:val="fr-CA"/>
        </w:rPr>
        <w:t xml:space="preserve"> </w:t>
      </w:r>
    </w:p>
    <w:p w14:paraId="6B7C742C" w14:textId="77777777" w:rsidR="00A02D6B" w:rsidRPr="00061CE3" w:rsidRDefault="00A02D6B" w:rsidP="003B0162">
      <w:pPr>
        <w:pStyle w:val="ListParagraph"/>
        <w:numPr>
          <w:ilvl w:val="0"/>
          <w:numId w:val="25"/>
        </w:numPr>
        <w:ind w:hanging="450"/>
      </w:pPr>
      <w:proofErr w:type="spellStart"/>
      <w:r w:rsidRPr="00061CE3">
        <w:rPr>
          <w:lang w:val="fr-CA"/>
        </w:rPr>
        <w:t>Make</w:t>
      </w:r>
      <w:proofErr w:type="spellEnd"/>
      <w:r w:rsidRPr="00061CE3">
        <w:rPr>
          <w:lang w:val="fr-CA"/>
        </w:rPr>
        <w:t xml:space="preserve"> a </w:t>
      </w:r>
      <w:proofErr w:type="spellStart"/>
      <w:r w:rsidRPr="00061CE3">
        <w:rPr>
          <w:lang w:val="fr-CA"/>
        </w:rPr>
        <w:t>Difference</w:t>
      </w:r>
      <w:proofErr w:type="spellEnd"/>
      <w:r w:rsidRPr="00061CE3">
        <w:rPr>
          <w:lang w:val="fr-CA"/>
        </w:rPr>
        <w:t xml:space="preserve"> </w:t>
      </w:r>
      <w:proofErr w:type="spellStart"/>
      <w:r w:rsidRPr="00061CE3">
        <w:rPr>
          <w:lang w:val="fr-CA"/>
        </w:rPr>
        <w:t>Through</w:t>
      </w:r>
      <w:proofErr w:type="spellEnd"/>
      <w:r w:rsidRPr="00061CE3">
        <w:rPr>
          <w:lang w:val="fr-CA"/>
        </w:rPr>
        <w:t xml:space="preserve"> Inclusion  </w:t>
      </w:r>
    </w:p>
    <w:p w14:paraId="2081A63C" w14:textId="77777777" w:rsidR="00A02D6B" w:rsidRPr="00061CE3" w:rsidRDefault="00A02D6B" w:rsidP="003B0162">
      <w:pPr>
        <w:pStyle w:val="ListParagraph"/>
        <w:numPr>
          <w:ilvl w:val="0"/>
          <w:numId w:val="25"/>
        </w:numPr>
        <w:ind w:hanging="450"/>
      </w:pPr>
      <w:r w:rsidRPr="00061CE3">
        <w:rPr>
          <w:lang w:val="fr-CA"/>
        </w:rPr>
        <w:t xml:space="preserve">Manitoba Possible </w:t>
      </w:r>
    </w:p>
    <w:p w14:paraId="28D31527" w14:textId="77777777" w:rsidR="00A02D6B" w:rsidRPr="00061CE3" w:rsidRDefault="00A02D6B" w:rsidP="003B0162">
      <w:pPr>
        <w:pStyle w:val="ListParagraph"/>
        <w:numPr>
          <w:ilvl w:val="0"/>
          <w:numId w:val="25"/>
        </w:numPr>
        <w:ind w:hanging="450"/>
      </w:pPr>
      <w:r w:rsidRPr="00061CE3">
        <w:rPr>
          <w:lang w:val="fr-CA"/>
        </w:rPr>
        <w:t xml:space="preserve">La marche des dix sous </w:t>
      </w:r>
    </w:p>
    <w:p w14:paraId="44DF4C57" w14:textId="77777777" w:rsidR="00A02D6B" w:rsidRPr="00061CE3" w:rsidRDefault="00A02D6B" w:rsidP="003B0162">
      <w:pPr>
        <w:pStyle w:val="ListParagraph"/>
        <w:numPr>
          <w:ilvl w:val="0"/>
          <w:numId w:val="25"/>
        </w:numPr>
        <w:ind w:hanging="450"/>
      </w:pPr>
      <w:r w:rsidRPr="00061CE3">
        <w:rPr>
          <w:lang w:val="fr-CA"/>
        </w:rPr>
        <w:t xml:space="preserve">Université McGill </w:t>
      </w:r>
    </w:p>
    <w:p w14:paraId="458070E9" w14:textId="77777777" w:rsidR="00A02D6B" w:rsidRPr="00061CE3" w:rsidRDefault="00A02D6B" w:rsidP="003B0162">
      <w:pPr>
        <w:pStyle w:val="ListParagraph"/>
        <w:numPr>
          <w:ilvl w:val="0"/>
          <w:numId w:val="25"/>
        </w:numPr>
        <w:ind w:hanging="450"/>
      </w:pPr>
      <w:r w:rsidRPr="00061CE3">
        <w:rPr>
          <w:lang w:val="fr-CA"/>
        </w:rPr>
        <w:t xml:space="preserve">Université Mount Saint Vincent </w:t>
      </w:r>
    </w:p>
    <w:p w14:paraId="6B78632C" w14:textId="77777777" w:rsidR="00A02D6B" w:rsidRPr="00061CE3" w:rsidRDefault="00A02D6B" w:rsidP="003B0162">
      <w:pPr>
        <w:pStyle w:val="ListParagraph"/>
        <w:numPr>
          <w:ilvl w:val="0"/>
          <w:numId w:val="25"/>
        </w:numPr>
        <w:ind w:hanging="450"/>
      </w:pPr>
      <w:r w:rsidRPr="00061CE3">
        <w:rPr>
          <w:lang w:val="fr-CA"/>
        </w:rPr>
        <w:t xml:space="preserve">Municipalité de </w:t>
      </w:r>
      <w:proofErr w:type="spellStart"/>
      <w:r w:rsidRPr="00061CE3">
        <w:rPr>
          <w:lang w:val="fr-CA"/>
        </w:rPr>
        <w:t>Clarington</w:t>
      </w:r>
      <w:proofErr w:type="spellEnd"/>
      <w:r w:rsidRPr="00061CE3">
        <w:rPr>
          <w:lang w:val="fr-CA"/>
        </w:rPr>
        <w:t xml:space="preserve"> </w:t>
      </w:r>
    </w:p>
    <w:p w14:paraId="04818899" w14:textId="77777777" w:rsidR="00A02D6B" w:rsidRPr="00061CE3" w:rsidRDefault="00A02D6B" w:rsidP="003B0162">
      <w:pPr>
        <w:pStyle w:val="ListParagraph"/>
        <w:numPr>
          <w:ilvl w:val="0"/>
          <w:numId w:val="25"/>
        </w:numPr>
        <w:ind w:hanging="450"/>
        <w:rPr>
          <w:lang w:val="fr-CA"/>
        </w:rPr>
      </w:pPr>
      <w:r w:rsidRPr="00061CE3">
        <w:rPr>
          <w:lang w:val="fr-CA"/>
        </w:rPr>
        <w:t xml:space="preserve">Association nationale des étudiant(e)s handicapé(e)s au niveau postsecondaire  </w:t>
      </w:r>
    </w:p>
    <w:p w14:paraId="78620190" w14:textId="77777777" w:rsidR="00A02D6B" w:rsidRPr="00061CE3" w:rsidRDefault="00A02D6B" w:rsidP="003B0162">
      <w:pPr>
        <w:pStyle w:val="ListParagraph"/>
        <w:numPr>
          <w:ilvl w:val="0"/>
          <w:numId w:val="25"/>
        </w:numPr>
        <w:ind w:hanging="450"/>
      </w:pPr>
      <w:r w:rsidRPr="00061CE3">
        <w:rPr>
          <w:lang w:val="fr-CA"/>
        </w:rPr>
        <w:t xml:space="preserve">ND </w:t>
      </w:r>
      <w:proofErr w:type="spellStart"/>
      <w:r w:rsidRPr="00061CE3">
        <w:rPr>
          <w:lang w:val="fr-CA"/>
        </w:rPr>
        <w:t>Connect</w:t>
      </w:r>
      <w:proofErr w:type="spellEnd"/>
      <w:r w:rsidRPr="00061CE3">
        <w:rPr>
          <w:lang w:val="fr-CA"/>
        </w:rPr>
        <w:t xml:space="preserve"> </w:t>
      </w:r>
    </w:p>
    <w:p w14:paraId="62E2E30D" w14:textId="77777777" w:rsidR="00A02D6B" w:rsidRPr="00061CE3" w:rsidRDefault="00A02D6B" w:rsidP="003B0162">
      <w:pPr>
        <w:pStyle w:val="ListParagraph"/>
        <w:numPr>
          <w:ilvl w:val="0"/>
          <w:numId w:val="25"/>
        </w:numPr>
        <w:ind w:hanging="450"/>
      </w:pPr>
      <w:r w:rsidRPr="00061CE3">
        <w:rPr>
          <w:lang w:val="fr-CA"/>
        </w:rPr>
        <w:t xml:space="preserve">Société Neil Squire  </w:t>
      </w:r>
    </w:p>
    <w:p w14:paraId="352D5FBC" w14:textId="77777777" w:rsidR="00A02D6B" w:rsidRPr="00061CE3" w:rsidRDefault="00A02D6B" w:rsidP="003B0162">
      <w:pPr>
        <w:pStyle w:val="ListParagraph"/>
        <w:numPr>
          <w:ilvl w:val="0"/>
          <w:numId w:val="25"/>
        </w:numPr>
        <w:ind w:hanging="450"/>
        <w:rPr>
          <w:lang w:val="fr-CA"/>
        </w:rPr>
      </w:pPr>
      <w:r w:rsidRPr="00061CE3">
        <w:rPr>
          <w:lang w:val="fr-CA"/>
        </w:rPr>
        <w:t xml:space="preserve">Direction de l’accessibilité de la Nouvelle-Écosse </w:t>
      </w:r>
    </w:p>
    <w:p w14:paraId="28BE8C5C" w14:textId="77777777" w:rsidR="00A02D6B" w:rsidRPr="00061CE3" w:rsidRDefault="00A02D6B" w:rsidP="003B0162">
      <w:pPr>
        <w:pStyle w:val="ListParagraph"/>
        <w:numPr>
          <w:ilvl w:val="0"/>
          <w:numId w:val="25"/>
        </w:numPr>
        <w:ind w:hanging="450"/>
      </w:pPr>
      <w:r w:rsidRPr="00061CE3">
        <w:t xml:space="preserve">Nova Scotia League for Equal Opportunities (NSLEO) </w:t>
      </w:r>
    </w:p>
    <w:p w14:paraId="311B6FD4" w14:textId="77777777" w:rsidR="00A02D6B" w:rsidRPr="00061CE3" w:rsidRDefault="00A02D6B" w:rsidP="003B0162">
      <w:pPr>
        <w:pStyle w:val="ListParagraph"/>
        <w:numPr>
          <w:ilvl w:val="0"/>
          <w:numId w:val="25"/>
        </w:numPr>
        <w:ind w:hanging="450"/>
      </w:pPr>
      <w:proofErr w:type="spellStart"/>
      <w:r w:rsidRPr="00061CE3">
        <w:rPr>
          <w:lang w:val="fr-CA"/>
        </w:rPr>
        <w:t>Nunavummi</w:t>
      </w:r>
      <w:proofErr w:type="spellEnd"/>
      <w:r w:rsidRPr="00061CE3">
        <w:rPr>
          <w:lang w:val="fr-CA"/>
        </w:rPr>
        <w:t xml:space="preserve"> </w:t>
      </w:r>
      <w:proofErr w:type="spellStart"/>
      <w:r w:rsidRPr="00061CE3">
        <w:rPr>
          <w:lang w:val="fr-CA"/>
        </w:rPr>
        <w:t>Disabilities</w:t>
      </w:r>
      <w:proofErr w:type="spellEnd"/>
      <w:r w:rsidRPr="00061CE3">
        <w:rPr>
          <w:lang w:val="fr-CA"/>
        </w:rPr>
        <w:t xml:space="preserve"> </w:t>
      </w:r>
      <w:proofErr w:type="spellStart"/>
      <w:r w:rsidRPr="00061CE3">
        <w:rPr>
          <w:lang w:val="fr-CA"/>
        </w:rPr>
        <w:t>Makinnasuaqtiit</w:t>
      </w:r>
      <w:proofErr w:type="spellEnd"/>
      <w:r w:rsidRPr="00061CE3">
        <w:rPr>
          <w:lang w:val="fr-CA"/>
        </w:rPr>
        <w:t xml:space="preserve"> Society </w:t>
      </w:r>
    </w:p>
    <w:p w14:paraId="049DD9A8" w14:textId="77777777" w:rsidR="00A02D6B" w:rsidRPr="00061CE3" w:rsidRDefault="00A02D6B" w:rsidP="003B0162">
      <w:pPr>
        <w:pStyle w:val="ListParagraph"/>
        <w:numPr>
          <w:ilvl w:val="0"/>
          <w:numId w:val="25"/>
        </w:numPr>
        <w:ind w:hanging="450"/>
        <w:rPr>
          <w:lang w:val="fr-CA"/>
        </w:rPr>
      </w:pPr>
      <w:r w:rsidRPr="00061CE3">
        <w:rPr>
          <w:lang w:val="fr-CA"/>
        </w:rPr>
        <w:t xml:space="preserve">Ontario Council of </w:t>
      </w:r>
      <w:proofErr w:type="spellStart"/>
      <w:r w:rsidRPr="00061CE3">
        <w:rPr>
          <w:lang w:val="fr-CA"/>
        </w:rPr>
        <w:t>Agencies</w:t>
      </w:r>
      <w:proofErr w:type="spellEnd"/>
      <w:r w:rsidRPr="00061CE3">
        <w:rPr>
          <w:lang w:val="fr-CA"/>
        </w:rPr>
        <w:t xml:space="preserve"> </w:t>
      </w:r>
      <w:proofErr w:type="spellStart"/>
      <w:r w:rsidRPr="00061CE3">
        <w:rPr>
          <w:lang w:val="fr-CA"/>
        </w:rPr>
        <w:t>Serving</w:t>
      </w:r>
      <w:proofErr w:type="spellEnd"/>
      <w:r w:rsidRPr="00061CE3">
        <w:rPr>
          <w:lang w:val="fr-CA"/>
        </w:rPr>
        <w:t xml:space="preserve"> Immigrants (OCASI- Conseil ontarien des organismes de services aux immigrants) </w:t>
      </w:r>
    </w:p>
    <w:p w14:paraId="36B3BA01" w14:textId="77777777" w:rsidR="00A02D6B" w:rsidRPr="00061CE3" w:rsidRDefault="00A02D6B" w:rsidP="003B0162">
      <w:pPr>
        <w:pStyle w:val="ListParagraph"/>
        <w:numPr>
          <w:ilvl w:val="0"/>
          <w:numId w:val="25"/>
        </w:numPr>
        <w:ind w:hanging="450"/>
      </w:pPr>
      <w:r w:rsidRPr="00061CE3">
        <w:t xml:space="preserve">Ontario Disability Employment Network (ODEN) </w:t>
      </w:r>
    </w:p>
    <w:p w14:paraId="27F38624" w14:textId="77777777" w:rsidR="00A02D6B" w:rsidRPr="00061CE3" w:rsidRDefault="00A02D6B" w:rsidP="003B0162">
      <w:pPr>
        <w:pStyle w:val="ListParagraph"/>
        <w:numPr>
          <w:ilvl w:val="0"/>
          <w:numId w:val="25"/>
        </w:numPr>
        <w:ind w:hanging="450"/>
      </w:pPr>
      <w:r w:rsidRPr="00061CE3">
        <w:rPr>
          <w:lang w:val="fr-CA"/>
        </w:rPr>
        <w:t xml:space="preserve">Université Ontario Tech  </w:t>
      </w:r>
    </w:p>
    <w:p w14:paraId="446DDB62" w14:textId="77777777" w:rsidR="00A02D6B" w:rsidRPr="00061CE3" w:rsidRDefault="00A02D6B" w:rsidP="003B0162">
      <w:pPr>
        <w:pStyle w:val="ListParagraph"/>
        <w:numPr>
          <w:ilvl w:val="0"/>
          <w:numId w:val="25"/>
        </w:numPr>
        <w:ind w:hanging="450"/>
      </w:pPr>
      <w:r w:rsidRPr="00061CE3">
        <w:rPr>
          <w:lang w:val="fr-CA"/>
        </w:rPr>
        <w:t xml:space="preserve">Ottawa Foyers Partage </w:t>
      </w:r>
    </w:p>
    <w:p w14:paraId="4586234E" w14:textId="77777777" w:rsidR="00A02D6B" w:rsidRPr="00061CE3" w:rsidRDefault="00A02D6B" w:rsidP="003B0162">
      <w:pPr>
        <w:pStyle w:val="ListParagraph"/>
        <w:numPr>
          <w:ilvl w:val="0"/>
          <w:numId w:val="25"/>
        </w:numPr>
        <w:ind w:hanging="450"/>
      </w:pPr>
      <w:proofErr w:type="spellStart"/>
      <w:r w:rsidRPr="00061CE3">
        <w:rPr>
          <w:lang w:val="fr-CA"/>
        </w:rPr>
        <w:t>Propeller</w:t>
      </w:r>
      <w:proofErr w:type="spellEnd"/>
      <w:r w:rsidRPr="00061CE3">
        <w:rPr>
          <w:lang w:val="fr-CA"/>
        </w:rPr>
        <w:t xml:space="preserve"> Dance  </w:t>
      </w:r>
    </w:p>
    <w:p w14:paraId="460545F8" w14:textId="77777777" w:rsidR="00A02D6B" w:rsidRPr="00061CE3" w:rsidRDefault="00A02D6B" w:rsidP="003B0162">
      <w:pPr>
        <w:pStyle w:val="ListParagraph"/>
        <w:numPr>
          <w:ilvl w:val="0"/>
          <w:numId w:val="25"/>
        </w:numPr>
        <w:ind w:hanging="450"/>
      </w:pPr>
      <w:r w:rsidRPr="00061CE3">
        <w:rPr>
          <w:lang w:val="fr-CA"/>
        </w:rPr>
        <w:t xml:space="preserve">Services publics et Approvisionnement Canada </w:t>
      </w:r>
    </w:p>
    <w:p w14:paraId="535A24BE" w14:textId="77777777" w:rsidR="00A02D6B" w:rsidRPr="00061CE3" w:rsidRDefault="00A02D6B" w:rsidP="003B0162">
      <w:pPr>
        <w:pStyle w:val="ListParagraph"/>
        <w:numPr>
          <w:ilvl w:val="0"/>
          <w:numId w:val="25"/>
        </w:numPr>
        <w:ind w:hanging="450"/>
      </w:pPr>
      <w:r w:rsidRPr="00061CE3">
        <w:rPr>
          <w:lang w:val="fr-CA"/>
        </w:rPr>
        <w:t xml:space="preserve">Université </w:t>
      </w:r>
      <w:proofErr w:type="spellStart"/>
      <w:r w:rsidRPr="00061CE3">
        <w:rPr>
          <w:lang w:val="fr-CA"/>
        </w:rPr>
        <w:t>Queen’s</w:t>
      </w:r>
      <w:proofErr w:type="spellEnd"/>
      <w:r w:rsidRPr="00061CE3">
        <w:rPr>
          <w:lang w:val="fr-CA"/>
        </w:rPr>
        <w:t xml:space="preserve"> </w:t>
      </w:r>
    </w:p>
    <w:p w14:paraId="44406B35" w14:textId="77777777" w:rsidR="00A02D6B" w:rsidRPr="00061CE3" w:rsidRDefault="00A02D6B" w:rsidP="003B0162">
      <w:pPr>
        <w:pStyle w:val="ListParagraph"/>
        <w:numPr>
          <w:ilvl w:val="0"/>
          <w:numId w:val="25"/>
        </w:numPr>
        <w:ind w:hanging="450"/>
        <w:rPr>
          <w:lang w:val="fr-CA"/>
        </w:rPr>
      </w:pPr>
      <w:r w:rsidRPr="00061CE3">
        <w:rPr>
          <w:lang w:val="fr-CA"/>
        </w:rPr>
        <w:t xml:space="preserve">Université </w:t>
      </w:r>
      <w:proofErr w:type="spellStart"/>
      <w:r w:rsidRPr="00061CE3">
        <w:rPr>
          <w:lang w:val="fr-CA"/>
        </w:rPr>
        <w:t>Queen’s</w:t>
      </w:r>
      <w:proofErr w:type="spellEnd"/>
      <w:r w:rsidRPr="00061CE3">
        <w:rPr>
          <w:lang w:val="fr-CA"/>
        </w:rPr>
        <w:t xml:space="preserve"> – Alliance canadienne concernant les politiques reliées au handicap  </w:t>
      </w:r>
    </w:p>
    <w:p w14:paraId="765DB674" w14:textId="77777777" w:rsidR="00A02D6B" w:rsidRPr="00061CE3" w:rsidRDefault="00A02D6B" w:rsidP="003B0162">
      <w:pPr>
        <w:pStyle w:val="ListParagraph"/>
        <w:numPr>
          <w:ilvl w:val="0"/>
          <w:numId w:val="25"/>
        </w:numPr>
        <w:ind w:hanging="450"/>
      </w:pPr>
      <w:proofErr w:type="spellStart"/>
      <w:r w:rsidRPr="00061CE3">
        <w:rPr>
          <w:lang w:val="fr-CA"/>
        </w:rPr>
        <w:t>Recreational</w:t>
      </w:r>
      <w:proofErr w:type="spellEnd"/>
      <w:r w:rsidRPr="00061CE3">
        <w:rPr>
          <w:lang w:val="fr-CA"/>
        </w:rPr>
        <w:t xml:space="preserve"> </w:t>
      </w:r>
      <w:proofErr w:type="spellStart"/>
      <w:r w:rsidRPr="00061CE3">
        <w:rPr>
          <w:lang w:val="fr-CA"/>
        </w:rPr>
        <w:t>Respite</w:t>
      </w:r>
      <w:proofErr w:type="spellEnd"/>
      <w:r w:rsidRPr="00061CE3">
        <w:rPr>
          <w:lang w:val="fr-CA"/>
        </w:rPr>
        <w:t xml:space="preserve"> </w:t>
      </w:r>
    </w:p>
    <w:p w14:paraId="042D770E" w14:textId="77777777" w:rsidR="00A02D6B" w:rsidRPr="00061CE3" w:rsidRDefault="00A02D6B" w:rsidP="003B0162">
      <w:pPr>
        <w:pStyle w:val="ListParagraph"/>
        <w:numPr>
          <w:ilvl w:val="0"/>
          <w:numId w:val="25"/>
        </w:numPr>
        <w:ind w:hanging="450"/>
      </w:pPr>
      <w:r w:rsidRPr="00061CE3">
        <w:rPr>
          <w:lang w:val="fr-CA"/>
        </w:rPr>
        <w:t xml:space="preserve">Fondation Rick Hansen </w:t>
      </w:r>
    </w:p>
    <w:p w14:paraId="5F3D11C0" w14:textId="77777777" w:rsidR="00A02D6B" w:rsidRPr="00061CE3" w:rsidRDefault="00A02D6B" w:rsidP="003B0162">
      <w:pPr>
        <w:pStyle w:val="ListParagraph"/>
        <w:numPr>
          <w:ilvl w:val="0"/>
          <w:numId w:val="25"/>
        </w:numPr>
        <w:ind w:hanging="450"/>
      </w:pPr>
      <w:r w:rsidRPr="00061CE3">
        <w:rPr>
          <w:lang w:val="fr-CA"/>
        </w:rPr>
        <w:t xml:space="preserve">Université Saint </w:t>
      </w:r>
      <w:proofErr w:type="spellStart"/>
      <w:r w:rsidRPr="00061CE3">
        <w:rPr>
          <w:lang w:val="fr-CA"/>
        </w:rPr>
        <w:t>Mary’s</w:t>
      </w:r>
      <w:proofErr w:type="spellEnd"/>
      <w:r w:rsidRPr="00061CE3">
        <w:rPr>
          <w:lang w:val="fr-CA"/>
        </w:rPr>
        <w:t xml:space="preserve"> </w:t>
      </w:r>
    </w:p>
    <w:p w14:paraId="44DEDF65" w14:textId="77777777" w:rsidR="00A02D6B" w:rsidRPr="00061CE3" w:rsidRDefault="00A02D6B" w:rsidP="003B0162">
      <w:pPr>
        <w:pStyle w:val="ListParagraph"/>
        <w:numPr>
          <w:ilvl w:val="0"/>
          <w:numId w:val="25"/>
        </w:numPr>
        <w:ind w:hanging="450"/>
      </w:pPr>
      <w:r w:rsidRPr="005B3BDB">
        <w:rPr>
          <w:lang w:val="en-US"/>
        </w:rPr>
        <w:lastRenderedPageBreak/>
        <w:t xml:space="preserve">Saskatchewan Association of Rehabilitation </w:t>
      </w:r>
      <w:proofErr w:type="spellStart"/>
      <w:r w:rsidRPr="005B3BDB">
        <w:rPr>
          <w:lang w:val="en-US"/>
        </w:rPr>
        <w:t>Centres</w:t>
      </w:r>
      <w:proofErr w:type="spellEnd"/>
      <w:r w:rsidRPr="005B3BDB">
        <w:rPr>
          <w:lang w:val="en-US"/>
        </w:rPr>
        <w:t xml:space="preserve"> (SARC) </w:t>
      </w:r>
    </w:p>
    <w:p w14:paraId="352D0E11" w14:textId="77777777" w:rsidR="00A02D6B" w:rsidRPr="00061CE3" w:rsidRDefault="00A02D6B" w:rsidP="003B0162">
      <w:pPr>
        <w:pStyle w:val="ListParagraph"/>
        <w:numPr>
          <w:ilvl w:val="0"/>
          <w:numId w:val="25"/>
        </w:numPr>
        <w:ind w:hanging="450"/>
      </w:pPr>
      <w:proofErr w:type="spellStart"/>
      <w:r w:rsidRPr="00061CE3">
        <w:rPr>
          <w:lang w:val="fr-CA"/>
        </w:rPr>
        <w:t>Specialisterne</w:t>
      </w:r>
      <w:proofErr w:type="spellEnd"/>
      <w:r w:rsidRPr="00061CE3">
        <w:rPr>
          <w:lang w:val="fr-CA"/>
        </w:rPr>
        <w:t xml:space="preserve"> </w:t>
      </w:r>
    </w:p>
    <w:p w14:paraId="1C817CFE" w14:textId="77777777" w:rsidR="00A02D6B" w:rsidRPr="00061CE3" w:rsidRDefault="00A02D6B" w:rsidP="003B0162">
      <w:pPr>
        <w:pStyle w:val="ListParagraph"/>
        <w:numPr>
          <w:ilvl w:val="0"/>
          <w:numId w:val="25"/>
        </w:numPr>
        <w:ind w:hanging="450"/>
      </w:pPr>
      <w:r w:rsidRPr="00061CE3">
        <w:rPr>
          <w:lang w:val="fr-CA"/>
        </w:rPr>
        <w:t xml:space="preserve">Lésions médullaires Canada  </w:t>
      </w:r>
    </w:p>
    <w:p w14:paraId="2EA4D572" w14:textId="77777777" w:rsidR="00A02D6B" w:rsidRPr="00061CE3" w:rsidRDefault="00A02D6B" w:rsidP="003B0162">
      <w:pPr>
        <w:pStyle w:val="ListParagraph"/>
        <w:numPr>
          <w:ilvl w:val="0"/>
          <w:numId w:val="25"/>
        </w:numPr>
        <w:ind w:hanging="450"/>
      </w:pPr>
      <w:r w:rsidRPr="00061CE3">
        <w:rPr>
          <w:lang w:val="fr-CA"/>
        </w:rPr>
        <w:t xml:space="preserve">Université St. Francis Xavier </w:t>
      </w:r>
    </w:p>
    <w:p w14:paraId="049D4099" w14:textId="77777777" w:rsidR="00A02D6B" w:rsidRPr="00061CE3" w:rsidRDefault="00A02D6B" w:rsidP="003B0162">
      <w:pPr>
        <w:pStyle w:val="ListParagraph"/>
        <w:numPr>
          <w:ilvl w:val="0"/>
          <w:numId w:val="25"/>
        </w:numPr>
        <w:ind w:hanging="450"/>
      </w:pPr>
      <w:r w:rsidRPr="00061CE3">
        <w:rPr>
          <w:lang w:val="fr-CA"/>
        </w:rPr>
        <w:t xml:space="preserve">Statistique Canada  </w:t>
      </w:r>
    </w:p>
    <w:p w14:paraId="1FC3DA51" w14:textId="77777777" w:rsidR="00A02D6B" w:rsidRPr="00061CE3" w:rsidRDefault="00A02D6B" w:rsidP="003B0162">
      <w:pPr>
        <w:pStyle w:val="ListParagraph"/>
        <w:numPr>
          <w:ilvl w:val="0"/>
          <w:numId w:val="25"/>
        </w:numPr>
        <w:ind w:hanging="450"/>
      </w:pPr>
      <w:proofErr w:type="spellStart"/>
      <w:r w:rsidRPr="00061CE3">
        <w:rPr>
          <w:lang w:val="fr-CA"/>
        </w:rPr>
        <w:t>Sinneave</w:t>
      </w:r>
      <w:proofErr w:type="spellEnd"/>
      <w:r w:rsidRPr="00061CE3">
        <w:rPr>
          <w:lang w:val="fr-CA"/>
        </w:rPr>
        <w:t xml:space="preserve"> Family </w:t>
      </w:r>
      <w:proofErr w:type="spellStart"/>
      <w:r w:rsidRPr="00061CE3">
        <w:rPr>
          <w:lang w:val="fr-CA"/>
        </w:rPr>
        <w:t>Foundation</w:t>
      </w:r>
      <w:proofErr w:type="spellEnd"/>
      <w:r w:rsidRPr="00061CE3">
        <w:rPr>
          <w:lang w:val="fr-CA"/>
        </w:rPr>
        <w:t xml:space="preserve"> </w:t>
      </w:r>
    </w:p>
    <w:p w14:paraId="379B19C3" w14:textId="77777777" w:rsidR="00A02D6B" w:rsidRPr="00061CE3" w:rsidRDefault="00A02D6B" w:rsidP="003B0162">
      <w:pPr>
        <w:pStyle w:val="ListParagraph"/>
        <w:numPr>
          <w:ilvl w:val="0"/>
          <w:numId w:val="25"/>
        </w:numPr>
        <w:ind w:hanging="450"/>
      </w:pPr>
      <w:r w:rsidRPr="00061CE3">
        <w:rPr>
          <w:lang w:val="fr-CA"/>
        </w:rPr>
        <w:t xml:space="preserve">Université Thompson Rivers  </w:t>
      </w:r>
    </w:p>
    <w:p w14:paraId="54381A7E" w14:textId="77777777" w:rsidR="00A02D6B" w:rsidRPr="00061CE3" w:rsidRDefault="00A02D6B" w:rsidP="003B0162">
      <w:pPr>
        <w:pStyle w:val="ListParagraph"/>
        <w:numPr>
          <w:ilvl w:val="0"/>
          <w:numId w:val="25"/>
        </w:numPr>
        <w:ind w:hanging="450"/>
      </w:pPr>
      <w:r w:rsidRPr="00061CE3">
        <w:rPr>
          <w:lang w:val="fr-CA"/>
        </w:rPr>
        <w:t xml:space="preserve">Transports Canada  </w:t>
      </w:r>
    </w:p>
    <w:p w14:paraId="075D26A6" w14:textId="77777777" w:rsidR="00A02D6B" w:rsidRPr="00061CE3" w:rsidRDefault="00A02D6B" w:rsidP="003B0162">
      <w:pPr>
        <w:pStyle w:val="ListParagraph"/>
        <w:numPr>
          <w:ilvl w:val="0"/>
          <w:numId w:val="25"/>
        </w:numPr>
        <w:ind w:hanging="450"/>
      </w:pPr>
      <w:r w:rsidRPr="00061CE3">
        <w:rPr>
          <w:lang w:val="fr-CA"/>
        </w:rPr>
        <w:t xml:space="preserve">Université Fraser Valley  </w:t>
      </w:r>
    </w:p>
    <w:p w14:paraId="1BA05DBD" w14:textId="77777777" w:rsidR="00A02D6B" w:rsidRPr="00061CE3" w:rsidRDefault="00A02D6B" w:rsidP="003B0162">
      <w:pPr>
        <w:pStyle w:val="ListParagraph"/>
        <w:numPr>
          <w:ilvl w:val="0"/>
          <w:numId w:val="25"/>
        </w:numPr>
        <w:ind w:hanging="450"/>
      </w:pPr>
      <w:r w:rsidRPr="00061CE3">
        <w:rPr>
          <w:lang w:val="fr-CA"/>
        </w:rPr>
        <w:t xml:space="preserve">Université du Manitoba </w:t>
      </w:r>
    </w:p>
    <w:p w14:paraId="7238CE4F" w14:textId="77777777" w:rsidR="00A02D6B" w:rsidRPr="00061CE3" w:rsidRDefault="00A02D6B" w:rsidP="003B0162">
      <w:pPr>
        <w:pStyle w:val="ListParagraph"/>
        <w:numPr>
          <w:ilvl w:val="0"/>
          <w:numId w:val="25"/>
        </w:numPr>
        <w:ind w:hanging="450"/>
      </w:pPr>
      <w:r w:rsidRPr="00061CE3">
        <w:rPr>
          <w:lang w:val="fr-CA"/>
        </w:rPr>
        <w:t xml:space="preserve">Université du Nouveau-Brunswick </w:t>
      </w:r>
    </w:p>
    <w:p w14:paraId="084FA4D0" w14:textId="77777777" w:rsidR="00A02D6B" w:rsidRPr="00061CE3" w:rsidRDefault="00A02D6B" w:rsidP="00DC123C">
      <w:pPr>
        <w:pStyle w:val="ListParagraph"/>
        <w:numPr>
          <w:ilvl w:val="0"/>
          <w:numId w:val="25"/>
        </w:numPr>
        <w:ind w:left="900" w:hanging="630"/>
      </w:pPr>
      <w:r w:rsidRPr="00061CE3">
        <w:rPr>
          <w:lang w:val="fr-CA"/>
        </w:rPr>
        <w:t xml:space="preserve">Université d’Ottawa </w:t>
      </w:r>
    </w:p>
    <w:p w14:paraId="727279A1" w14:textId="77777777" w:rsidR="00A02D6B" w:rsidRPr="00061CE3" w:rsidRDefault="00A02D6B" w:rsidP="00DC123C">
      <w:pPr>
        <w:pStyle w:val="ListParagraph"/>
        <w:numPr>
          <w:ilvl w:val="0"/>
          <w:numId w:val="25"/>
        </w:numPr>
        <w:tabs>
          <w:tab w:val="left" w:pos="900"/>
        </w:tabs>
        <w:ind w:hanging="450"/>
      </w:pPr>
      <w:r w:rsidRPr="00061CE3">
        <w:rPr>
          <w:lang w:val="fr-CA"/>
        </w:rPr>
        <w:t xml:space="preserve">Université de Toronto </w:t>
      </w:r>
    </w:p>
    <w:p w14:paraId="2CB10CED" w14:textId="77777777" w:rsidR="00A02D6B" w:rsidRPr="00061CE3" w:rsidRDefault="00A02D6B" w:rsidP="00DC123C">
      <w:pPr>
        <w:pStyle w:val="ListParagraph"/>
        <w:numPr>
          <w:ilvl w:val="0"/>
          <w:numId w:val="25"/>
        </w:numPr>
        <w:ind w:left="900" w:hanging="630"/>
      </w:pPr>
      <w:r w:rsidRPr="00061CE3">
        <w:rPr>
          <w:lang w:val="fr-CA"/>
        </w:rPr>
        <w:t xml:space="preserve">Université de Victoria – </w:t>
      </w:r>
      <w:proofErr w:type="spellStart"/>
      <w:r w:rsidRPr="00061CE3">
        <w:rPr>
          <w:lang w:val="fr-CA"/>
        </w:rPr>
        <w:t>CanAssist</w:t>
      </w:r>
      <w:proofErr w:type="spellEnd"/>
      <w:r w:rsidRPr="00061CE3">
        <w:rPr>
          <w:lang w:val="fr-CA"/>
        </w:rPr>
        <w:t xml:space="preserve"> </w:t>
      </w:r>
    </w:p>
    <w:p w14:paraId="1F49A842" w14:textId="77777777" w:rsidR="00A02D6B" w:rsidRPr="00061CE3" w:rsidRDefault="00A02D6B" w:rsidP="00DC123C">
      <w:pPr>
        <w:pStyle w:val="ListParagraph"/>
        <w:numPr>
          <w:ilvl w:val="0"/>
          <w:numId w:val="25"/>
        </w:numPr>
        <w:tabs>
          <w:tab w:val="left" w:pos="900"/>
        </w:tabs>
        <w:ind w:hanging="450"/>
      </w:pPr>
      <w:r w:rsidRPr="00061CE3">
        <w:rPr>
          <w:lang w:val="fr-CA"/>
        </w:rPr>
        <w:t xml:space="preserve">Université de Waterloo </w:t>
      </w:r>
    </w:p>
    <w:p w14:paraId="67C89C61" w14:textId="77777777" w:rsidR="00A02D6B" w:rsidRPr="00061CE3" w:rsidRDefault="00A02D6B" w:rsidP="00DC123C">
      <w:pPr>
        <w:pStyle w:val="ListParagraph"/>
        <w:numPr>
          <w:ilvl w:val="0"/>
          <w:numId w:val="25"/>
        </w:numPr>
        <w:tabs>
          <w:tab w:val="left" w:pos="900"/>
        </w:tabs>
        <w:ind w:hanging="450"/>
      </w:pPr>
      <w:r w:rsidRPr="00061CE3">
        <w:rPr>
          <w:lang w:val="fr-CA"/>
        </w:rPr>
        <w:t xml:space="preserve">VIA Rail </w:t>
      </w:r>
    </w:p>
    <w:p w14:paraId="16241C1E" w14:textId="77777777" w:rsidR="00A02D6B" w:rsidRPr="00061CE3" w:rsidRDefault="00A02D6B" w:rsidP="00DC123C">
      <w:pPr>
        <w:pStyle w:val="ListParagraph"/>
        <w:numPr>
          <w:ilvl w:val="0"/>
          <w:numId w:val="25"/>
        </w:numPr>
        <w:tabs>
          <w:tab w:val="left" w:pos="900"/>
        </w:tabs>
        <w:ind w:hanging="450"/>
      </w:pPr>
      <w:proofErr w:type="spellStart"/>
      <w:r w:rsidRPr="00061CE3">
        <w:rPr>
          <w:lang w:val="fr-CA"/>
        </w:rPr>
        <w:t>Whimble</w:t>
      </w:r>
      <w:proofErr w:type="spellEnd"/>
      <w:r w:rsidRPr="00061CE3">
        <w:rPr>
          <w:lang w:val="fr-CA"/>
        </w:rPr>
        <w:t xml:space="preserve"> Care </w:t>
      </w:r>
      <w:proofErr w:type="spellStart"/>
      <w:r w:rsidRPr="00061CE3">
        <w:rPr>
          <w:lang w:val="fr-CA"/>
        </w:rPr>
        <w:t>Inc</w:t>
      </w:r>
      <w:proofErr w:type="spellEnd"/>
      <w:r w:rsidRPr="00061CE3">
        <w:rPr>
          <w:lang w:val="fr-CA"/>
        </w:rPr>
        <w:t xml:space="preserve"> </w:t>
      </w:r>
    </w:p>
    <w:p w14:paraId="02576D70" w14:textId="77777777" w:rsidR="00A02D6B" w:rsidRPr="00061CE3" w:rsidRDefault="00A02D6B" w:rsidP="00DC123C">
      <w:pPr>
        <w:pStyle w:val="ListParagraph"/>
        <w:numPr>
          <w:ilvl w:val="0"/>
          <w:numId w:val="25"/>
        </w:numPr>
        <w:ind w:left="900" w:hanging="630"/>
        <w:rPr>
          <w:lang w:val="fr-CA"/>
        </w:rPr>
      </w:pPr>
      <w:r w:rsidRPr="00061CE3">
        <w:rPr>
          <w:lang w:val="fr-CA"/>
        </w:rPr>
        <w:t xml:space="preserve">Commission de la sécurité professionnelle et de l’assurance contre les accidents du travail (WSIB)  </w:t>
      </w:r>
    </w:p>
    <w:p w14:paraId="0D42560D" w14:textId="77777777" w:rsidR="008C7504" w:rsidRPr="00061CE3" w:rsidRDefault="00A02D6B" w:rsidP="00DC123C">
      <w:pPr>
        <w:pStyle w:val="ListParagraph"/>
        <w:numPr>
          <w:ilvl w:val="0"/>
          <w:numId w:val="25"/>
        </w:numPr>
        <w:tabs>
          <w:tab w:val="left" w:pos="900"/>
        </w:tabs>
        <w:ind w:hanging="450"/>
      </w:pPr>
      <w:r w:rsidRPr="00061CE3">
        <w:rPr>
          <w:lang w:val="fr-CA"/>
        </w:rPr>
        <w:t>Université York</w:t>
      </w:r>
    </w:p>
    <w:p w14:paraId="6F0E208D" w14:textId="0CA560AC" w:rsidR="00A02D6B" w:rsidRPr="00061CE3" w:rsidRDefault="00A02D6B" w:rsidP="008C7504">
      <w:r w:rsidRPr="00061CE3">
        <w:rPr>
          <w:lang w:val="fr-CA"/>
        </w:rPr>
        <w:t xml:space="preserve"> </w:t>
      </w:r>
    </w:p>
    <w:p w14:paraId="6F549BA9" w14:textId="77777777" w:rsidR="00BA38A7" w:rsidRPr="00061CE3" w:rsidRDefault="00BA38A7" w:rsidP="0063517B">
      <w:pPr>
        <w:pStyle w:val="Heading2"/>
        <w:sectPr w:rsidR="00BA38A7" w:rsidRPr="00061CE3" w:rsidSect="006E76E9">
          <w:type w:val="continuous"/>
          <w:pgSz w:w="12240" w:h="15840"/>
          <w:pgMar w:top="1276" w:right="1325" w:bottom="0" w:left="1560" w:header="720" w:footer="720" w:gutter="0"/>
          <w:cols w:num="2" w:space="720"/>
          <w:titlePg/>
          <w:docGrid w:linePitch="299"/>
        </w:sectPr>
      </w:pPr>
    </w:p>
    <w:p w14:paraId="7FC88E25" w14:textId="77777777" w:rsidR="002D151D" w:rsidRPr="00061CE3" w:rsidRDefault="002D151D">
      <w:pPr>
        <w:rPr>
          <w:color w:val="434343"/>
          <w:sz w:val="26"/>
          <w:szCs w:val="26"/>
        </w:rPr>
      </w:pPr>
      <w:r w:rsidRPr="00061CE3">
        <w:rPr>
          <w:sz w:val="26"/>
          <w:szCs w:val="26"/>
          <w:lang w:val="fr-CA"/>
        </w:rPr>
        <w:br w:type="page"/>
      </w:r>
    </w:p>
    <w:p w14:paraId="432219B5" w14:textId="40C5CFFA" w:rsidR="00DA6DFD" w:rsidRPr="00061CE3" w:rsidRDefault="0063517B" w:rsidP="00B31BFF">
      <w:pPr>
        <w:pStyle w:val="Heading3"/>
        <w:spacing w:before="360" w:after="120"/>
        <w:rPr>
          <w:sz w:val="26"/>
          <w:szCs w:val="26"/>
          <w:lang w:val="fr-CA"/>
        </w:rPr>
      </w:pPr>
      <w:r w:rsidRPr="00061CE3">
        <w:rPr>
          <w:sz w:val="26"/>
          <w:szCs w:val="26"/>
          <w:lang w:val="fr-CA"/>
        </w:rPr>
        <w:lastRenderedPageBreak/>
        <w:t>Collaborateur(</w:t>
      </w:r>
      <w:proofErr w:type="spellStart"/>
      <w:r w:rsidRPr="00061CE3">
        <w:rPr>
          <w:sz w:val="26"/>
          <w:szCs w:val="26"/>
          <w:lang w:val="fr-CA"/>
        </w:rPr>
        <w:t>rice</w:t>
      </w:r>
      <w:proofErr w:type="spellEnd"/>
      <w:r w:rsidRPr="00061CE3">
        <w:rPr>
          <w:sz w:val="26"/>
          <w:szCs w:val="26"/>
          <w:lang w:val="fr-CA"/>
        </w:rPr>
        <w:t>)s individuel(le)s du RCA</w:t>
      </w:r>
      <w:bookmarkEnd w:id="65"/>
    </w:p>
    <w:p w14:paraId="665A440B" w14:textId="6F5503F2" w:rsidR="009A5D6A" w:rsidRPr="00061CE3" w:rsidRDefault="009A5D6A" w:rsidP="003235DF">
      <w:pPr>
        <w:pStyle w:val="ListParagraph"/>
        <w:numPr>
          <w:ilvl w:val="0"/>
          <w:numId w:val="25"/>
        </w:numPr>
        <w:ind w:left="900" w:hanging="630"/>
        <w:rPr>
          <w:lang w:val="fr-CA"/>
        </w:rPr>
      </w:pPr>
      <w:proofErr w:type="spellStart"/>
      <w:r w:rsidRPr="00061CE3">
        <w:rPr>
          <w:lang w:val="fr-CA"/>
        </w:rPr>
        <w:t>AnaLori</w:t>
      </w:r>
      <w:proofErr w:type="spellEnd"/>
      <w:r w:rsidRPr="00061CE3">
        <w:rPr>
          <w:lang w:val="fr-CA"/>
        </w:rPr>
        <w:t> Smith – experte en accessibilité, École de la fonction publique du Canada</w:t>
      </w:r>
    </w:p>
    <w:p w14:paraId="2FF15721" w14:textId="58B128C8" w:rsidR="009A5D6A" w:rsidRPr="00A259F9" w:rsidRDefault="009A5D6A" w:rsidP="00A259F9">
      <w:pPr>
        <w:pStyle w:val="ListParagraph"/>
        <w:numPr>
          <w:ilvl w:val="0"/>
          <w:numId w:val="25"/>
        </w:numPr>
        <w:tabs>
          <w:tab w:val="left" w:pos="900"/>
        </w:tabs>
        <w:ind w:left="900" w:hanging="630"/>
        <w:rPr>
          <w:lang w:val="fr-CA"/>
        </w:rPr>
      </w:pPr>
      <w:r w:rsidRPr="00061CE3">
        <w:rPr>
          <w:lang w:val="fr-CA"/>
        </w:rPr>
        <w:t xml:space="preserve">Andrew McIntyre – avocat et conseiller principal en politiques, Bureau de l’accessibilité de la fonction publique de l’Ontario, Secrétariat du Conseil du Trésor </w:t>
      </w:r>
    </w:p>
    <w:p w14:paraId="58A84D80" w14:textId="27F10941" w:rsidR="009A5D6A" w:rsidRPr="00061CE3" w:rsidRDefault="009A5D6A" w:rsidP="00A259F9">
      <w:pPr>
        <w:pStyle w:val="ListParagraph"/>
        <w:numPr>
          <w:ilvl w:val="0"/>
          <w:numId w:val="25"/>
        </w:numPr>
        <w:ind w:left="900" w:hanging="630"/>
        <w:rPr>
          <w:lang w:val="fr-CA"/>
        </w:rPr>
      </w:pPr>
      <w:r w:rsidRPr="00061CE3">
        <w:rPr>
          <w:lang w:val="fr-CA"/>
        </w:rPr>
        <w:t>Cynthia Bruce – professeure adjointe, musicothérapie, Université Concordia</w:t>
      </w:r>
    </w:p>
    <w:p w14:paraId="4BB21066" w14:textId="77777777" w:rsidR="009A5D6A" w:rsidRPr="00061CE3" w:rsidRDefault="009A5D6A" w:rsidP="00A259F9">
      <w:pPr>
        <w:pStyle w:val="ListParagraph"/>
        <w:numPr>
          <w:ilvl w:val="0"/>
          <w:numId w:val="25"/>
        </w:numPr>
        <w:ind w:left="900" w:hanging="630"/>
      </w:pPr>
      <w:r w:rsidRPr="00061CE3">
        <w:rPr>
          <w:lang w:val="fr-CA"/>
        </w:rPr>
        <w:t xml:space="preserve">Danielle Lorenz – rédactrice adjointe, Canadian Journal of </w:t>
      </w:r>
      <w:proofErr w:type="spellStart"/>
      <w:r w:rsidRPr="00061CE3">
        <w:rPr>
          <w:lang w:val="fr-CA"/>
        </w:rPr>
        <w:t>Disability</w:t>
      </w:r>
      <w:proofErr w:type="spellEnd"/>
      <w:r w:rsidRPr="00061CE3">
        <w:rPr>
          <w:lang w:val="fr-CA"/>
        </w:rPr>
        <w:t xml:space="preserve"> </w:t>
      </w:r>
      <w:proofErr w:type="spellStart"/>
      <w:r w:rsidRPr="00061CE3">
        <w:rPr>
          <w:lang w:val="fr-CA"/>
        </w:rPr>
        <w:t>Studies</w:t>
      </w:r>
      <w:proofErr w:type="spellEnd"/>
    </w:p>
    <w:p w14:paraId="77C6F934" w14:textId="0A40D1FA" w:rsidR="009A5D6A" w:rsidRPr="00A259F9" w:rsidRDefault="009A5D6A" w:rsidP="00A259F9">
      <w:pPr>
        <w:pStyle w:val="ListParagraph"/>
        <w:numPr>
          <w:ilvl w:val="0"/>
          <w:numId w:val="25"/>
        </w:numPr>
        <w:ind w:left="900" w:hanging="630"/>
        <w:rPr>
          <w:lang w:val="fr-CA"/>
        </w:rPr>
      </w:pPr>
      <w:proofErr w:type="spellStart"/>
      <w:r w:rsidRPr="00061CE3">
        <w:rPr>
          <w:lang w:val="fr-CA"/>
        </w:rPr>
        <w:t>Dulcie</w:t>
      </w:r>
      <w:proofErr w:type="spellEnd"/>
      <w:r w:rsidRPr="00061CE3">
        <w:rPr>
          <w:lang w:val="fr-CA"/>
        </w:rPr>
        <w:t xml:space="preserve"> McCallum – ancienne membre de la délégation du Canada à la Convention des Nations Unies relative aux droits des personnes handicapées </w:t>
      </w:r>
    </w:p>
    <w:p w14:paraId="2753330F" w14:textId="77777777" w:rsidR="009A5D6A" w:rsidRPr="00061CE3" w:rsidRDefault="009A5D6A" w:rsidP="00A259F9">
      <w:pPr>
        <w:pStyle w:val="ListParagraph"/>
        <w:numPr>
          <w:ilvl w:val="0"/>
          <w:numId w:val="25"/>
        </w:numPr>
        <w:ind w:left="900" w:hanging="630"/>
        <w:rPr>
          <w:lang w:val="fr-CA"/>
        </w:rPr>
      </w:pPr>
      <w:r w:rsidRPr="00061CE3">
        <w:rPr>
          <w:lang w:val="fr-CA"/>
        </w:rPr>
        <w:t>Matthew </w:t>
      </w:r>
      <w:proofErr w:type="spellStart"/>
      <w:r w:rsidRPr="00061CE3">
        <w:rPr>
          <w:lang w:val="fr-CA"/>
        </w:rPr>
        <w:t>Gallina</w:t>
      </w:r>
      <w:proofErr w:type="spellEnd"/>
      <w:r w:rsidRPr="00061CE3">
        <w:rPr>
          <w:lang w:val="fr-CA"/>
        </w:rPr>
        <w:t xml:space="preserve"> – coordonnateur national du programme ISET, Congrès des peuples autochtones</w:t>
      </w:r>
    </w:p>
    <w:p w14:paraId="3DDA80F8" w14:textId="77777777" w:rsidR="009A5D6A" w:rsidRPr="00061CE3" w:rsidRDefault="009A5D6A" w:rsidP="00A259F9">
      <w:pPr>
        <w:pStyle w:val="ListParagraph"/>
        <w:numPr>
          <w:ilvl w:val="0"/>
          <w:numId w:val="25"/>
        </w:numPr>
        <w:ind w:left="900" w:hanging="630"/>
        <w:rPr>
          <w:lang w:val="fr-CA"/>
        </w:rPr>
      </w:pPr>
      <w:r w:rsidRPr="00061CE3">
        <w:rPr>
          <w:lang w:val="fr-CA"/>
        </w:rPr>
        <w:t>Matthew </w:t>
      </w:r>
      <w:proofErr w:type="spellStart"/>
      <w:r w:rsidRPr="00061CE3">
        <w:rPr>
          <w:lang w:val="fr-CA"/>
        </w:rPr>
        <w:t>Raniowski</w:t>
      </w:r>
      <w:proofErr w:type="spellEnd"/>
      <w:r w:rsidRPr="00061CE3">
        <w:rPr>
          <w:lang w:val="fr-CA"/>
        </w:rPr>
        <w:t xml:space="preserve"> – technicien en électronique, Forces canadiennes/Défense nationale</w:t>
      </w:r>
    </w:p>
    <w:p w14:paraId="02927E9E" w14:textId="77777777" w:rsidR="009A5D6A" w:rsidRPr="00061CE3" w:rsidRDefault="009A5D6A" w:rsidP="00A259F9">
      <w:pPr>
        <w:pStyle w:val="ListParagraph"/>
        <w:numPr>
          <w:ilvl w:val="0"/>
          <w:numId w:val="25"/>
        </w:numPr>
        <w:ind w:left="900" w:hanging="630"/>
        <w:rPr>
          <w:lang w:val="fr-CA"/>
        </w:rPr>
      </w:pPr>
      <w:r w:rsidRPr="00061CE3">
        <w:rPr>
          <w:lang w:val="fr-CA"/>
        </w:rPr>
        <w:t>Melissa Egan – responsable nationale, Invalidités épisodiques, Réalise</w:t>
      </w:r>
    </w:p>
    <w:p w14:paraId="491022AE" w14:textId="77777777" w:rsidR="009A5D6A" w:rsidRPr="00061CE3" w:rsidRDefault="009A5D6A" w:rsidP="00457430">
      <w:pPr>
        <w:pStyle w:val="ListParagraph"/>
        <w:numPr>
          <w:ilvl w:val="0"/>
          <w:numId w:val="25"/>
        </w:numPr>
        <w:tabs>
          <w:tab w:val="left" w:pos="900"/>
        </w:tabs>
        <w:ind w:left="990" w:hanging="720"/>
      </w:pPr>
      <w:r w:rsidRPr="00061CE3">
        <w:t>Ian MacVicar – Ian MacVicar Yoga and Mindful Resilience Coaching</w:t>
      </w:r>
    </w:p>
    <w:p w14:paraId="0B0F384C" w14:textId="77777777" w:rsidR="009A5D6A" w:rsidRPr="00061CE3" w:rsidRDefault="009A5D6A" w:rsidP="00457430">
      <w:pPr>
        <w:pStyle w:val="ListParagraph"/>
        <w:numPr>
          <w:ilvl w:val="0"/>
          <w:numId w:val="25"/>
        </w:numPr>
        <w:ind w:left="900" w:hanging="630"/>
      </w:pPr>
      <w:r w:rsidRPr="00061CE3">
        <w:rPr>
          <w:lang w:val="fr-CA"/>
        </w:rPr>
        <w:t xml:space="preserve">Jaime Winkler – coordonnatrice de réseau, </w:t>
      </w:r>
      <w:proofErr w:type="spellStart"/>
      <w:r w:rsidRPr="00061CE3">
        <w:rPr>
          <w:lang w:val="fr-CA"/>
        </w:rPr>
        <w:t>Cerebral</w:t>
      </w:r>
      <w:proofErr w:type="spellEnd"/>
      <w:r w:rsidRPr="00061CE3">
        <w:rPr>
          <w:lang w:val="fr-CA"/>
        </w:rPr>
        <w:t xml:space="preserve"> </w:t>
      </w:r>
      <w:proofErr w:type="spellStart"/>
      <w:r w:rsidRPr="00061CE3">
        <w:rPr>
          <w:lang w:val="fr-CA"/>
        </w:rPr>
        <w:t>Palsy</w:t>
      </w:r>
      <w:proofErr w:type="spellEnd"/>
      <w:r w:rsidRPr="00061CE3">
        <w:rPr>
          <w:lang w:val="fr-CA"/>
        </w:rPr>
        <w:t xml:space="preserve"> Canada Network</w:t>
      </w:r>
    </w:p>
    <w:p w14:paraId="61EF5FDF" w14:textId="62252D1F" w:rsidR="009A5D6A" w:rsidRPr="00457430" w:rsidRDefault="009A5D6A" w:rsidP="00457430">
      <w:pPr>
        <w:pStyle w:val="ListParagraph"/>
        <w:numPr>
          <w:ilvl w:val="0"/>
          <w:numId w:val="25"/>
        </w:numPr>
        <w:ind w:left="900" w:hanging="630"/>
        <w:rPr>
          <w:lang w:val="fr-CA"/>
        </w:rPr>
      </w:pPr>
      <w:r w:rsidRPr="00061CE3">
        <w:rPr>
          <w:lang w:val="fr-CA"/>
        </w:rPr>
        <w:t xml:space="preserve">Richard Plummer – directeur, Développement des affaires et opérations, Association des malentendants canadiens </w:t>
      </w:r>
    </w:p>
    <w:p w14:paraId="373DEAEB" w14:textId="2775ADEF" w:rsidR="009A5D6A" w:rsidRPr="00457430" w:rsidRDefault="009A5D6A" w:rsidP="00457430">
      <w:pPr>
        <w:pStyle w:val="ListParagraph"/>
        <w:numPr>
          <w:ilvl w:val="0"/>
          <w:numId w:val="25"/>
        </w:numPr>
        <w:ind w:left="900" w:hanging="630"/>
        <w:rPr>
          <w:lang w:val="fr-CA"/>
        </w:rPr>
      </w:pPr>
      <w:r w:rsidRPr="00061CE3">
        <w:rPr>
          <w:lang w:val="fr-CA"/>
        </w:rPr>
        <w:t xml:space="preserve">Rosalie McGrath – conseillère principale, Bureau de l’accessibilité, Secrétariat du Conseil du Trésor du Canada </w:t>
      </w:r>
    </w:p>
    <w:p w14:paraId="5D6A0B57" w14:textId="60C0A198" w:rsidR="009A5D6A" w:rsidRPr="00457430" w:rsidRDefault="009A5D6A" w:rsidP="00457430">
      <w:pPr>
        <w:pStyle w:val="ListParagraph"/>
        <w:numPr>
          <w:ilvl w:val="0"/>
          <w:numId w:val="25"/>
        </w:numPr>
        <w:ind w:left="900" w:hanging="630"/>
        <w:rPr>
          <w:lang w:val="fr-CA"/>
        </w:rPr>
      </w:pPr>
      <w:r w:rsidRPr="00061CE3">
        <w:rPr>
          <w:lang w:val="fr-CA"/>
        </w:rPr>
        <w:t>Scott </w:t>
      </w:r>
      <w:proofErr w:type="spellStart"/>
      <w:r w:rsidRPr="00061CE3">
        <w:rPr>
          <w:lang w:val="fr-CA"/>
        </w:rPr>
        <w:t>Allardyce</w:t>
      </w:r>
      <w:proofErr w:type="spellEnd"/>
      <w:r w:rsidRPr="00061CE3">
        <w:rPr>
          <w:lang w:val="fr-CA"/>
        </w:rPr>
        <w:t xml:space="preserve"> – conseiller principal en politiques, Bureau de l’accessibilité de la fonction publique de l’Ontario, Secrétariat du Conseil du Trésor </w:t>
      </w:r>
    </w:p>
    <w:p w14:paraId="4841FDDE" w14:textId="77777777" w:rsidR="009A5D6A" w:rsidRPr="00061CE3" w:rsidRDefault="009A5D6A" w:rsidP="00457430">
      <w:pPr>
        <w:pStyle w:val="ListParagraph"/>
        <w:numPr>
          <w:ilvl w:val="0"/>
          <w:numId w:val="25"/>
        </w:numPr>
        <w:tabs>
          <w:tab w:val="left" w:pos="900"/>
        </w:tabs>
        <w:ind w:hanging="450"/>
        <w:rPr>
          <w:lang w:val="fr-CA"/>
        </w:rPr>
      </w:pPr>
      <w:proofErr w:type="spellStart"/>
      <w:r w:rsidRPr="00061CE3">
        <w:rPr>
          <w:lang w:val="fr-CA"/>
        </w:rPr>
        <w:t>Sowmya</w:t>
      </w:r>
      <w:proofErr w:type="spellEnd"/>
      <w:r w:rsidRPr="00061CE3">
        <w:rPr>
          <w:lang w:val="fr-CA"/>
        </w:rPr>
        <w:t> Bhaskar – professionnelle en ressources humaines</w:t>
      </w:r>
    </w:p>
    <w:p w14:paraId="26B511C1" w14:textId="77777777" w:rsidR="009A5D6A" w:rsidRPr="00061CE3" w:rsidRDefault="009A5D6A" w:rsidP="00457430">
      <w:pPr>
        <w:pStyle w:val="ListParagraph"/>
        <w:numPr>
          <w:ilvl w:val="0"/>
          <w:numId w:val="25"/>
        </w:numPr>
        <w:ind w:left="900" w:hanging="630"/>
        <w:rPr>
          <w:lang w:val="fr-CA"/>
        </w:rPr>
      </w:pPr>
      <w:r w:rsidRPr="00061CE3">
        <w:rPr>
          <w:lang w:val="fr-CA"/>
        </w:rPr>
        <w:t>Steve </w:t>
      </w:r>
      <w:proofErr w:type="spellStart"/>
      <w:r w:rsidRPr="00061CE3">
        <w:rPr>
          <w:lang w:val="fr-CA"/>
        </w:rPr>
        <w:t>Estey</w:t>
      </w:r>
      <w:proofErr w:type="spellEnd"/>
      <w:r w:rsidRPr="00061CE3">
        <w:rPr>
          <w:lang w:val="fr-CA"/>
        </w:rPr>
        <w:t xml:space="preserve"> – consultant indépendant, CRDPH et droits internationaux des personnes en situation de handicap</w:t>
      </w:r>
    </w:p>
    <w:p w14:paraId="493909AF" w14:textId="1EED99BF" w:rsidR="00D10C69" w:rsidRPr="00061CE3" w:rsidRDefault="00D10C69" w:rsidP="00457430">
      <w:pPr>
        <w:pStyle w:val="ListParagraph"/>
        <w:numPr>
          <w:ilvl w:val="0"/>
          <w:numId w:val="25"/>
        </w:numPr>
        <w:ind w:left="900" w:hanging="630"/>
        <w:rPr>
          <w:lang w:val="fr-CA"/>
        </w:rPr>
      </w:pPr>
      <w:proofErr w:type="spellStart"/>
      <w:r w:rsidRPr="00061CE3">
        <w:rPr>
          <w:lang w:val="fr-CA"/>
        </w:rPr>
        <w:t>Suleman</w:t>
      </w:r>
      <w:proofErr w:type="spellEnd"/>
      <w:r w:rsidRPr="00061CE3">
        <w:rPr>
          <w:lang w:val="fr-CA"/>
        </w:rPr>
        <w:t xml:space="preserve"> Arshad – fondateur et président de l’École de l’inclusion  </w:t>
      </w:r>
    </w:p>
    <w:p w14:paraId="563F0E52" w14:textId="53AE007B" w:rsidR="006F1CF7" w:rsidRPr="00061CE3" w:rsidRDefault="006F1CF7" w:rsidP="00457430">
      <w:pPr>
        <w:pStyle w:val="ListParagraph"/>
        <w:numPr>
          <w:ilvl w:val="0"/>
          <w:numId w:val="25"/>
        </w:numPr>
        <w:tabs>
          <w:tab w:val="left" w:pos="900"/>
        </w:tabs>
        <w:ind w:hanging="450"/>
        <w:rPr>
          <w:lang w:val="fr-CA"/>
        </w:rPr>
      </w:pPr>
      <w:r w:rsidRPr="00061CE3">
        <w:rPr>
          <w:lang w:val="fr-CA"/>
        </w:rPr>
        <w:t>Lucille Berlinguette-Saumure (AC) – ancienne responsable de la Ville d’Ottawa</w:t>
      </w:r>
    </w:p>
    <w:p w14:paraId="092435B6" w14:textId="460DD45B" w:rsidR="0087566C" w:rsidRPr="00061CE3" w:rsidRDefault="00974F79" w:rsidP="00457430">
      <w:pPr>
        <w:pStyle w:val="ListParagraph"/>
        <w:numPr>
          <w:ilvl w:val="0"/>
          <w:numId w:val="25"/>
        </w:numPr>
        <w:ind w:left="900" w:hanging="630"/>
        <w:rPr>
          <w:lang w:val="fr-CA"/>
        </w:rPr>
      </w:pPr>
      <w:r w:rsidRPr="00061CE3">
        <w:rPr>
          <w:lang w:val="fr-CA"/>
        </w:rPr>
        <w:t xml:space="preserve">Phillip Turcotte – personne en situation de handicap et champion de l’intégration des personnes en situation de handicap </w:t>
      </w:r>
    </w:p>
    <w:p w14:paraId="02255147" w14:textId="46DD4EF9" w:rsidR="00DA2FDD" w:rsidRPr="00061CE3" w:rsidRDefault="00DA2FDD" w:rsidP="00457430">
      <w:pPr>
        <w:pStyle w:val="ListParagraph"/>
        <w:numPr>
          <w:ilvl w:val="0"/>
          <w:numId w:val="25"/>
        </w:numPr>
        <w:ind w:left="900" w:hanging="630"/>
      </w:pPr>
      <w:r w:rsidRPr="00061CE3">
        <w:rPr>
          <w:lang w:val="fr-CA"/>
        </w:rPr>
        <w:t>Anne </w:t>
      </w:r>
      <w:proofErr w:type="spellStart"/>
      <w:r w:rsidRPr="00061CE3">
        <w:rPr>
          <w:lang w:val="fr-CA"/>
        </w:rPr>
        <w:t>MacRae</w:t>
      </w:r>
      <w:proofErr w:type="spellEnd"/>
      <w:r w:rsidRPr="00061CE3">
        <w:rPr>
          <w:lang w:val="fr-CA"/>
        </w:rPr>
        <w:t xml:space="preserve"> – directrice générale nationale</w:t>
      </w:r>
    </w:p>
    <w:p w14:paraId="081A4563" w14:textId="539F3FF1" w:rsidR="00C90830" w:rsidRPr="00061CE3" w:rsidRDefault="00C90830" w:rsidP="00457430">
      <w:pPr>
        <w:pStyle w:val="ListParagraph"/>
        <w:numPr>
          <w:ilvl w:val="0"/>
          <w:numId w:val="25"/>
        </w:numPr>
        <w:ind w:left="900" w:hanging="630"/>
        <w:rPr>
          <w:lang w:val="fr-CA"/>
        </w:rPr>
      </w:pPr>
      <w:r w:rsidRPr="00061CE3">
        <w:rPr>
          <w:lang w:val="fr-CA"/>
        </w:rPr>
        <w:t>Christine Malone – spécialiste des programmes et projets de diversité et d’inclusion</w:t>
      </w:r>
    </w:p>
    <w:p w14:paraId="7882886A" w14:textId="55EE70E0" w:rsidR="0063517B" w:rsidRPr="00061CE3" w:rsidRDefault="0063517B" w:rsidP="005936A3">
      <w:pPr>
        <w:ind w:left="720" w:hanging="450"/>
        <w:rPr>
          <w:lang w:val="fr-CA"/>
        </w:rPr>
      </w:pPr>
    </w:p>
    <w:sectPr w:rsidR="0063517B" w:rsidRPr="00061CE3" w:rsidSect="001E7ED0">
      <w:type w:val="continuous"/>
      <w:pgSz w:w="12240" w:h="15840"/>
      <w:pgMar w:top="1276" w:right="1325" w:bottom="0" w:left="15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9800" w14:textId="77777777" w:rsidR="002B75EC" w:rsidRPr="00061CE3" w:rsidRDefault="002B75EC" w:rsidP="002916B6">
      <w:r w:rsidRPr="00061CE3">
        <w:separator/>
      </w:r>
    </w:p>
    <w:p w14:paraId="2D05F25F" w14:textId="77777777" w:rsidR="002B75EC" w:rsidRPr="00061CE3" w:rsidRDefault="002B75EC" w:rsidP="002916B6"/>
  </w:endnote>
  <w:endnote w:type="continuationSeparator" w:id="0">
    <w:p w14:paraId="41A78F9B" w14:textId="77777777" w:rsidR="002B75EC" w:rsidRPr="00061CE3" w:rsidRDefault="002B75EC" w:rsidP="002916B6">
      <w:r w:rsidRPr="00061CE3">
        <w:continuationSeparator/>
      </w:r>
    </w:p>
    <w:p w14:paraId="543CF7A3" w14:textId="77777777" w:rsidR="002B75EC" w:rsidRPr="00061CE3" w:rsidRDefault="002B75EC" w:rsidP="002916B6"/>
  </w:endnote>
  <w:endnote w:type="continuationNotice" w:id="1">
    <w:p w14:paraId="70709857" w14:textId="77777777" w:rsidR="002B75EC" w:rsidRPr="00061CE3" w:rsidRDefault="002B75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otham Narrow SSm B">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C758" w14:textId="77777777" w:rsidR="00061CE3" w:rsidRPr="00061CE3" w:rsidRDefault="0006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877340"/>
      <w:docPartObj>
        <w:docPartGallery w:val="Page Numbers (Bottom of Page)"/>
        <w:docPartUnique/>
      </w:docPartObj>
    </w:sdtPr>
    <w:sdtEndPr>
      <w:rPr>
        <w:noProof/>
      </w:rPr>
    </w:sdtEndPr>
    <w:sdtContent>
      <w:p w14:paraId="2DE74B70" w14:textId="2A077E47" w:rsidR="00445209" w:rsidRPr="00061CE3" w:rsidRDefault="009A5D6A">
        <w:pPr>
          <w:pStyle w:val="Footer"/>
          <w:jc w:val="right"/>
        </w:pPr>
        <w:r w:rsidRPr="00061CE3">
          <w:rPr>
            <w:noProof/>
            <w:lang w:val="fr-CA"/>
          </w:rPr>
          <w:drawing>
            <wp:anchor distT="114300" distB="114300" distL="114300" distR="114300" simplePos="0" relativeHeight="251657216" behindDoc="1" locked="0" layoutInCell="1" hidden="0" allowOverlap="1" wp14:anchorId="0A3F5197" wp14:editId="699F2474">
              <wp:simplePos x="0" y="0"/>
              <wp:positionH relativeFrom="page">
                <wp:align>left</wp:align>
              </wp:positionH>
              <wp:positionV relativeFrom="page">
                <wp:posOffset>9331960</wp:posOffset>
              </wp:positionV>
              <wp:extent cx="7315200" cy="365760"/>
              <wp:effectExtent l="0" t="0" r="0" b="0"/>
              <wp:wrapNone/>
              <wp:docPr id="160232097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61449167"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15200" cy="365760"/>
                      </a:xfrm>
                      <a:prstGeom prst="rect">
                        <a:avLst/>
                      </a:prstGeom>
                      <a:ln/>
                    </pic:spPr>
                  </pic:pic>
                </a:graphicData>
              </a:graphic>
            </wp:anchor>
          </w:drawing>
        </w:r>
        <w:r w:rsidRPr="00061CE3">
          <w:rPr>
            <w:lang w:val="fr-CA"/>
          </w:rPr>
          <w:fldChar w:fldCharType="begin"/>
        </w:r>
        <w:r w:rsidRPr="00061CE3">
          <w:rPr>
            <w:lang w:val="fr-CA"/>
          </w:rPr>
          <w:instrText xml:space="preserve"> PAGE   \* MERGEFORMAT </w:instrText>
        </w:r>
        <w:r w:rsidRPr="00061CE3">
          <w:rPr>
            <w:lang w:val="fr-CA"/>
          </w:rPr>
          <w:fldChar w:fldCharType="separate"/>
        </w:r>
        <w:r w:rsidRPr="00061CE3">
          <w:rPr>
            <w:noProof/>
            <w:lang w:val="fr-CA"/>
          </w:rPr>
          <w:t>2</w:t>
        </w:r>
        <w:r w:rsidRPr="00061CE3">
          <w:rPr>
            <w:noProof/>
            <w:lang w:val="fr-CA"/>
          </w:rPr>
          <w:fldChar w:fldCharType="end"/>
        </w:r>
      </w:p>
    </w:sdtContent>
  </w:sdt>
  <w:p w14:paraId="50D14855" w14:textId="54688020" w:rsidR="00F93C0F" w:rsidRPr="00061CE3" w:rsidRDefault="00F93C0F" w:rsidP="002916B6">
    <w:pPr>
      <w:pStyle w:val="Footer"/>
    </w:pPr>
  </w:p>
  <w:p w14:paraId="5031B7AB" w14:textId="2DFBA576" w:rsidR="00AB23D7" w:rsidRPr="00061CE3" w:rsidRDefault="00AB23D7" w:rsidP="002916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47E6" w14:textId="290C3543" w:rsidR="00D10E1F" w:rsidRPr="00061CE3" w:rsidRDefault="00BB6E7E">
    <w:pPr>
      <w:pStyle w:val="Footer"/>
    </w:pPr>
    <w:r w:rsidRPr="00061CE3">
      <w:rPr>
        <w:noProof/>
        <w:lang w:val="fr-CA"/>
      </w:rPr>
      <w:drawing>
        <wp:anchor distT="114300" distB="114300" distL="114300" distR="114300" simplePos="0" relativeHeight="251663360" behindDoc="1" locked="0" layoutInCell="1" hidden="0" allowOverlap="1" wp14:anchorId="54642388" wp14:editId="19465899">
          <wp:simplePos x="0" y="0"/>
          <wp:positionH relativeFrom="page">
            <wp:posOffset>17450</wp:posOffset>
          </wp:positionH>
          <wp:positionV relativeFrom="page">
            <wp:posOffset>9340901</wp:posOffset>
          </wp:positionV>
          <wp:extent cx="7315200" cy="365760"/>
          <wp:effectExtent l="0" t="0" r="0" b="0"/>
          <wp:wrapNone/>
          <wp:docPr id="151075757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15200" cy="365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549BF" w14:textId="77777777" w:rsidR="002B75EC" w:rsidRPr="00061CE3" w:rsidRDefault="002B75EC" w:rsidP="002916B6">
      <w:r w:rsidRPr="00061CE3">
        <w:separator/>
      </w:r>
    </w:p>
    <w:p w14:paraId="25FAD95D" w14:textId="77777777" w:rsidR="002B75EC" w:rsidRPr="00061CE3" w:rsidRDefault="002B75EC" w:rsidP="002916B6"/>
  </w:footnote>
  <w:footnote w:type="continuationSeparator" w:id="0">
    <w:p w14:paraId="55897835" w14:textId="77777777" w:rsidR="002B75EC" w:rsidRPr="00061CE3" w:rsidRDefault="002B75EC" w:rsidP="002916B6">
      <w:r w:rsidRPr="00061CE3">
        <w:continuationSeparator/>
      </w:r>
    </w:p>
    <w:p w14:paraId="15D55EFA" w14:textId="77777777" w:rsidR="002B75EC" w:rsidRPr="00061CE3" w:rsidRDefault="002B75EC" w:rsidP="002916B6"/>
  </w:footnote>
  <w:footnote w:type="continuationNotice" w:id="1">
    <w:p w14:paraId="3A4F52BB" w14:textId="77777777" w:rsidR="002B75EC" w:rsidRPr="00061CE3" w:rsidRDefault="002B75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E69E" w14:textId="77777777" w:rsidR="00061CE3" w:rsidRPr="00061CE3" w:rsidRDefault="00061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C68A" w14:textId="77777777" w:rsidR="00061CE3" w:rsidRPr="00061CE3" w:rsidRDefault="00061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58B1" w14:textId="77777777" w:rsidR="00061CE3" w:rsidRPr="00061CE3" w:rsidRDefault="0006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767B"/>
    <w:multiLevelType w:val="hybridMultilevel"/>
    <w:tmpl w:val="23222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903CE1"/>
    <w:multiLevelType w:val="hybridMultilevel"/>
    <w:tmpl w:val="57049A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3C1D6C"/>
    <w:multiLevelType w:val="hybridMultilevel"/>
    <w:tmpl w:val="00E6C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D623E"/>
    <w:multiLevelType w:val="hybridMultilevel"/>
    <w:tmpl w:val="7A94F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69638F"/>
    <w:multiLevelType w:val="hybridMultilevel"/>
    <w:tmpl w:val="6E1A6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4C07BA"/>
    <w:multiLevelType w:val="hybridMultilevel"/>
    <w:tmpl w:val="584CE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DE6F0F"/>
    <w:multiLevelType w:val="hybridMultilevel"/>
    <w:tmpl w:val="FFDC241C"/>
    <w:lvl w:ilvl="0" w:tplc="54105206">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A0101E"/>
    <w:multiLevelType w:val="hybridMultilevel"/>
    <w:tmpl w:val="34AE4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AA2AFD"/>
    <w:multiLevelType w:val="hybridMultilevel"/>
    <w:tmpl w:val="B2E234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AE1096"/>
    <w:multiLevelType w:val="hybridMultilevel"/>
    <w:tmpl w:val="11369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F829EF"/>
    <w:multiLevelType w:val="multilevel"/>
    <w:tmpl w:val="F1F036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7B5FBE"/>
    <w:multiLevelType w:val="hybridMultilevel"/>
    <w:tmpl w:val="7088A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A11621"/>
    <w:multiLevelType w:val="hybridMultilevel"/>
    <w:tmpl w:val="5AD8679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CA7843"/>
    <w:multiLevelType w:val="hybridMultilevel"/>
    <w:tmpl w:val="DD0CA716"/>
    <w:lvl w:ilvl="0" w:tplc="E5B27C3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6A52A1"/>
    <w:multiLevelType w:val="hybridMultilevel"/>
    <w:tmpl w:val="E2E03D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06585D"/>
    <w:multiLevelType w:val="hybridMultilevel"/>
    <w:tmpl w:val="62107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9B164A"/>
    <w:multiLevelType w:val="hybridMultilevel"/>
    <w:tmpl w:val="A566E1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CA0073"/>
    <w:multiLevelType w:val="hybridMultilevel"/>
    <w:tmpl w:val="B8288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232335"/>
    <w:multiLevelType w:val="hybridMultilevel"/>
    <w:tmpl w:val="C3760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2C1D58"/>
    <w:multiLevelType w:val="hybridMultilevel"/>
    <w:tmpl w:val="D318E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5067A0"/>
    <w:multiLevelType w:val="hybridMultilevel"/>
    <w:tmpl w:val="87786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9F94DBD"/>
    <w:multiLevelType w:val="hybridMultilevel"/>
    <w:tmpl w:val="00A4EE80"/>
    <w:lvl w:ilvl="0" w:tplc="1F3492B8">
      <w:start w:val="202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300EC1"/>
    <w:multiLevelType w:val="hybridMultilevel"/>
    <w:tmpl w:val="5D063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6376F8E"/>
    <w:multiLevelType w:val="hybridMultilevel"/>
    <w:tmpl w:val="34F4E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B10FB0"/>
    <w:multiLevelType w:val="hybridMultilevel"/>
    <w:tmpl w:val="987A0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040FF2"/>
    <w:multiLevelType w:val="hybridMultilevel"/>
    <w:tmpl w:val="F18E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5408334">
    <w:abstractNumId w:val="21"/>
  </w:num>
  <w:num w:numId="2" w16cid:durableId="1799686579">
    <w:abstractNumId w:val="13"/>
  </w:num>
  <w:num w:numId="3" w16cid:durableId="1647510637">
    <w:abstractNumId w:val="1"/>
  </w:num>
  <w:num w:numId="4" w16cid:durableId="698313246">
    <w:abstractNumId w:val="6"/>
  </w:num>
  <w:num w:numId="5" w16cid:durableId="445737825">
    <w:abstractNumId w:val="3"/>
  </w:num>
  <w:num w:numId="6" w16cid:durableId="1216282789">
    <w:abstractNumId w:val="2"/>
  </w:num>
  <w:num w:numId="7" w16cid:durableId="1022852695">
    <w:abstractNumId w:val="12"/>
  </w:num>
  <w:num w:numId="8" w16cid:durableId="2114855812">
    <w:abstractNumId w:val="5"/>
  </w:num>
  <w:num w:numId="9" w16cid:durableId="1540556284">
    <w:abstractNumId w:val="17"/>
  </w:num>
  <w:num w:numId="10" w16cid:durableId="618685740">
    <w:abstractNumId w:val="7"/>
  </w:num>
  <w:num w:numId="11" w16cid:durableId="909385009">
    <w:abstractNumId w:val="19"/>
  </w:num>
  <w:num w:numId="12" w16cid:durableId="5985807">
    <w:abstractNumId w:val="8"/>
  </w:num>
  <w:num w:numId="13" w16cid:durableId="1112170381">
    <w:abstractNumId w:val="4"/>
  </w:num>
  <w:num w:numId="14" w16cid:durableId="414597522">
    <w:abstractNumId w:val="18"/>
  </w:num>
  <w:num w:numId="15" w16cid:durableId="386225696">
    <w:abstractNumId w:val="11"/>
  </w:num>
  <w:num w:numId="16" w16cid:durableId="1836915567">
    <w:abstractNumId w:val="20"/>
  </w:num>
  <w:num w:numId="17" w16cid:durableId="1915816111">
    <w:abstractNumId w:val="15"/>
  </w:num>
  <w:num w:numId="18" w16cid:durableId="1255699643">
    <w:abstractNumId w:val="9"/>
  </w:num>
  <w:num w:numId="19" w16cid:durableId="1929970631">
    <w:abstractNumId w:val="22"/>
  </w:num>
  <w:num w:numId="20" w16cid:durableId="266159530">
    <w:abstractNumId w:val="0"/>
  </w:num>
  <w:num w:numId="21" w16cid:durableId="1161965157">
    <w:abstractNumId w:val="23"/>
  </w:num>
  <w:num w:numId="22" w16cid:durableId="1288708010">
    <w:abstractNumId w:val="25"/>
  </w:num>
  <w:num w:numId="23" w16cid:durableId="339284433">
    <w:abstractNumId w:val="14"/>
  </w:num>
  <w:num w:numId="24" w16cid:durableId="1327396888">
    <w:abstractNumId w:val="24"/>
  </w:num>
  <w:num w:numId="25" w16cid:durableId="1913081146">
    <w:abstractNumId w:val="16"/>
  </w:num>
  <w:num w:numId="26" w16cid:durableId="1631593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sDQxsjC1NLM0tDBQ0lEKTi0uzszPAykwqQUANdXwoSwAAAA="/>
  </w:docVars>
  <w:rsids>
    <w:rsidRoot w:val="00C917BA"/>
    <w:rsid w:val="00000EE9"/>
    <w:rsid w:val="00006589"/>
    <w:rsid w:val="00007F71"/>
    <w:rsid w:val="00012EBA"/>
    <w:rsid w:val="00013F13"/>
    <w:rsid w:val="000158BE"/>
    <w:rsid w:val="0003362D"/>
    <w:rsid w:val="0005480C"/>
    <w:rsid w:val="000551B9"/>
    <w:rsid w:val="00061227"/>
    <w:rsid w:val="00061CE3"/>
    <w:rsid w:val="00064D1B"/>
    <w:rsid w:val="00075AD9"/>
    <w:rsid w:val="00082039"/>
    <w:rsid w:val="00082A7D"/>
    <w:rsid w:val="00086C66"/>
    <w:rsid w:val="000941DC"/>
    <w:rsid w:val="000A62FA"/>
    <w:rsid w:val="000B24B2"/>
    <w:rsid w:val="000B3578"/>
    <w:rsid w:val="000B559B"/>
    <w:rsid w:val="000B745A"/>
    <w:rsid w:val="000C4203"/>
    <w:rsid w:val="000D2AD4"/>
    <w:rsid w:val="000F6B07"/>
    <w:rsid w:val="00111CE8"/>
    <w:rsid w:val="00130F9D"/>
    <w:rsid w:val="001319BE"/>
    <w:rsid w:val="00140E6A"/>
    <w:rsid w:val="001455DF"/>
    <w:rsid w:val="001542E3"/>
    <w:rsid w:val="00156C87"/>
    <w:rsid w:val="0017571C"/>
    <w:rsid w:val="001A6649"/>
    <w:rsid w:val="001B7416"/>
    <w:rsid w:val="001C2A7C"/>
    <w:rsid w:val="001D1771"/>
    <w:rsid w:val="001D4BA4"/>
    <w:rsid w:val="001E36F5"/>
    <w:rsid w:val="001E5756"/>
    <w:rsid w:val="001E7ED0"/>
    <w:rsid w:val="001F1B4A"/>
    <w:rsid w:val="001F72B7"/>
    <w:rsid w:val="00215CAE"/>
    <w:rsid w:val="00231E1E"/>
    <w:rsid w:val="00234C60"/>
    <w:rsid w:val="00240596"/>
    <w:rsid w:val="002450CB"/>
    <w:rsid w:val="002573AE"/>
    <w:rsid w:val="002574A3"/>
    <w:rsid w:val="0026378F"/>
    <w:rsid w:val="002658E8"/>
    <w:rsid w:val="0027187A"/>
    <w:rsid w:val="002761A8"/>
    <w:rsid w:val="0028158B"/>
    <w:rsid w:val="002916B6"/>
    <w:rsid w:val="002A18AE"/>
    <w:rsid w:val="002B05EC"/>
    <w:rsid w:val="002B75EC"/>
    <w:rsid w:val="002C2333"/>
    <w:rsid w:val="002D151D"/>
    <w:rsid w:val="002E550B"/>
    <w:rsid w:val="00306A5B"/>
    <w:rsid w:val="00310C4F"/>
    <w:rsid w:val="00316B1E"/>
    <w:rsid w:val="003235DF"/>
    <w:rsid w:val="003307FF"/>
    <w:rsid w:val="003311BE"/>
    <w:rsid w:val="003337C4"/>
    <w:rsid w:val="00350026"/>
    <w:rsid w:val="00354F7B"/>
    <w:rsid w:val="00356B4C"/>
    <w:rsid w:val="00360737"/>
    <w:rsid w:val="003754CB"/>
    <w:rsid w:val="00382B54"/>
    <w:rsid w:val="00386499"/>
    <w:rsid w:val="003879A8"/>
    <w:rsid w:val="003A20AD"/>
    <w:rsid w:val="003B0162"/>
    <w:rsid w:val="003B588F"/>
    <w:rsid w:val="003B6B73"/>
    <w:rsid w:val="003C3A68"/>
    <w:rsid w:val="003C773F"/>
    <w:rsid w:val="003D0148"/>
    <w:rsid w:val="003D4B93"/>
    <w:rsid w:val="003D7DBD"/>
    <w:rsid w:val="003F1E54"/>
    <w:rsid w:val="003F4C9F"/>
    <w:rsid w:val="003F4F40"/>
    <w:rsid w:val="003F78C1"/>
    <w:rsid w:val="00402B56"/>
    <w:rsid w:val="00426857"/>
    <w:rsid w:val="004272D2"/>
    <w:rsid w:val="00434438"/>
    <w:rsid w:val="00442310"/>
    <w:rsid w:val="00444960"/>
    <w:rsid w:val="00445209"/>
    <w:rsid w:val="00450489"/>
    <w:rsid w:val="00455B7A"/>
    <w:rsid w:val="00457156"/>
    <w:rsid w:val="00457430"/>
    <w:rsid w:val="00476CE6"/>
    <w:rsid w:val="004844BB"/>
    <w:rsid w:val="00485559"/>
    <w:rsid w:val="00490B42"/>
    <w:rsid w:val="00492BF6"/>
    <w:rsid w:val="0049726B"/>
    <w:rsid w:val="004A2F74"/>
    <w:rsid w:val="004A7941"/>
    <w:rsid w:val="004B1865"/>
    <w:rsid w:val="004B43B8"/>
    <w:rsid w:val="004B4A74"/>
    <w:rsid w:val="004B7F21"/>
    <w:rsid w:val="004C3802"/>
    <w:rsid w:val="004D007D"/>
    <w:rsid w:val="004D5641"/>
    <w:rsid w:val="004D617A"/>
    <w:rsid w:val="004D746F"/>
    <w:rsid w:val="004E0036"/>
    <w:rsid w:val="004E5BCA"/>
    <w:rsid w:val="004F1C16"/>
    <w:rsid w:val="004F23B7"/>
    <w:rsid w:val="005222AD"/>
    <w:rsid w:val="005236F7"/>
    <w:rsid w:val="00530012"/>
    <w:rsid w:val="00532C17"/>
    <w:rsid w:val="00535A47"/>
    <w:rsid w:val="00542D1B"/>
    <w:rsid w:val="00553992"/>
    <w:rsid w:val="00563D05"/>
    <w:rsid w:val="0056639A"/>
    <w:rsid w:val="00567103"/>
    <w:rsid w:val="00573308"/>
    <w:rsid w:val="00584014"/>
    <w:rsid w:val="005853F7"/>
    <w:rsid w:val="005936A3"/>
    <w:rsid w:val="005942C6"/>
    <w:rsid w:val="005A1BF4"/>
    <w:rsid w:val="005A1F22"/>
    <w:rsid w:val="005B0BFC"/>
    <w:rsid w:val="005B3BDB"/>
    <w:rsid w:val="005B40DC"/>
    <w:rsid w:val="005B412A"/>
    <w:rsid w:val="005C155F"/>
    <w:rsid w:val="005C22F7"/>
    <w:rsid w:val="005D1742"/>
    <w:rsid w:val="005D75F2"/>
    <w:rsid w:val="005E09EB"/>
    <w:rsid w:val="00603360"/>
    <w:rsid w:val="006057BA"/>
    <w:rsid w:val="006102F4"/>
    <w:rsid w:val="0061205D"/>
    <w:rsid w:val="006262AA"/>
    <w:rsid w:val="0063517B"/>
    <w:rsid w:val="00636515"/>
    <w:rsid w:val="0064090A"/>
    <w:rsid w:val="00645109"/>
    <w:rsid w:val="00645B9F"/>
    <w:rsid w:val="00661413"/>
    <w:rsid w:val="006677CD"/>
    <w:rsid w:val="006737CC"/>
    <w:rsid w:val="006744F5"/>
    <w:rsid w:val="006759E5"/>
    <w:rsid w:val="006865C5"/>
    <w:rsid w:val="00691FDF"/>
    <w:rsid w:val="00695DCB"/>
    <w:rsid w:val="006A30B7"/>
    <w:rsid w:val="006B2AD8"/>
    <w:rsid w:val="006C646D"/>
    <w:rsid w:val="006C7F7F"/>
    <w:rsid w:val="006D2BCA"/>
    <w:rsid w:val="006D3035"/>
    <w:rsid w:val="006E1BB3"/>
    <w:rsid w:val="006E65F2"/>
    <w:rsid w:val="006E6CA0"/>
    <w:rsid w:val="006E76E9"/>
    <w:rsid w:val="006F1CF7"/>
    <w:rsid w:val="006F3C7F"/>
    <w:rsid w:val="00721915"/>
    <w:rsid w:val="00726C3B"/>
    <w:rsid w:val="00731531"/>
    <w:rsid w:val="00743288"/>
    <w:rsid w:val="00744459"/>
    <w:rsid w:val="007525AF"/>
    <w:rsid w:val="00752E1B"/>
    <w:rsid w:val="00770A72"/>
    <w:rsid w:val="00773284"/>
    <w:rsid w:val="007747A1"/>
    <w:rsid w:val="007762E5"/>
    <w:rsid w:val="007950C6"/>
    <w:rsid w:val="0079596F"/>
    <w:rsid w:val="007A38FC"/>
    <w:rsid w:val="007B0508"/>
    <w:rsid w:val="007B7AFD"/>
    <w:rsid w:val="007C114B"/>
    <w:rsid w:val="007C21B8"/>
    <w:rsid w:val="007C65B1"/>
    <w:rsid w:val="007E1EFF"/>
    <w:rsid w:val="007E45B5"/>
    <w:rsid w:val="007E62B4"/>
    <w:rsid w:val="007F2239"/>
    <w:rsid w:val="007F7EE9"/>
    <w:rsid w:val="00804099"/>
    <w:rsid w:val="00807F0D"/>
    <w:rsid w:val="008166EA"/>
    <w:rsid w:val="00817032"/>
    <w:rsid w:val="008171F9"/>
    <w:rsid w:val="00825CCB"/>
    <w:rsid w:val="008321D2"/>
    <w:rsid w:val="00837265"/>
    <w:rsid w:val="008374D5"/>
    <w:rsid w:val="0085548E"/>
    <w:rsid w:val="0086294A"/>
    <w:rsid w:val="00863441"/>
    <w:rsid w:val="0086446E"/>
    <w:rsid w:val="008668E9"/>
    <w:rsid w:val="008704F8"/>
    <w:rsid w:val="00873164"/>
    <w:rsid w:val="0087566C"/>
    <w:rsid w:val="008965FE"/>
    <w:rsid w:val="00897A2E"/>
    <w:rsid w:val="008A5B5D"/>
    <w:rsid w:val="008C5F0D"/>
    <w:rsid w:val="008C64E7"/>
    <w:rsid w:val="008C6E72"/>
    <w:rsid w:val="008C7504"/>
    <w:rsid w:val="008E5BE8"/>
    <w:rsid w:val="008F0D17"/>
    <w:rsid w:val="008F5893"/>
    <w:rsid w:val="008F74AC"/>
    <w:rsid w:val="00900AA6"/>
    <w:rsid w:val="00903B6B"/>
    <w:rsid w:val="009061A3"/>
    <w:rsid w:val="009066A7"/>
    <w:rsid w:val="00916161"/>
    <w:rsid w:val="00916288"/>
    <w:rsid w:val="00920A41"/>
    <w:rsid w:val="00930636"/>
    <w:rsid w:val="00942D5E"/>
    <w:rsid w:val="00964041"/>
    <w:rsid w:val="00965C61"/>
    <w:rsid w:val="009700A9"/>
    <w:rsid w:val="0097314F"/>
    <w:rsid w:val="009739AB"/>
    <w:rsid w:val="00973A12"/>
    <w:rsid w:val="00974F79"/>
    <w:rsid w:val="0099519B"/>
    <w:rsid w:val="00996257"/>
    <w:rsid w:val="00997438"/>
    <w:rsid w:val="009A5D6A"/>
    <w:rsid w:val="009A7AB9"/>
    <w:rsid w:val="009B185A"/>
    <w:rsid w:val="009B45A9"/>
    <w:rsid w:val="009B54FB"/>
    <w:rsid w:val="009B5B4B"/>
    <w:rsid w:val="009C6680"/>
    <w:rsid w:val="009D3391"/>
    <w:rsid w:val="009E022B"/>
    <w:rsid w:val="009F04A4"/>
    <w:rsid w:val="009F0CA2"/>
    <w:rsid w:val="009F6390"/>
    <w:rsid w:val="009F7CFA"/>
    <w:rsid w:val="00A0031C"/>
    <w:rsid w:val="00A005B2"/>
    <w:rsid w:val="00A02A80"/>
    <w:rsid w:val="00A02D6B"/>
    <w:rsid w:val="00A06BFF"/>
    <w:rsid w:val="00A10BD4"/>
    <w:rsid w:val="00A138A5"/>
    <w:rsid w:val="00A205CF"/>
    <w:rsid w:val="00A206FD"/>
    <w:rsid w:val="00A20CD6"/>
    <w:rsid w:val="00A259F9"/>
    <w:rsid w:val="00A304A4"/>
    <w:rsid w:val="00A54545"/>
    <w:rsid w:val="00A61782"/>
    <w:rsid w:val="00A634DC"/>
    <w:rsid w:val="00A70450"/>
    <w:rsid w:val="00A70C69"/>
    <w:rsid w:val="00A81A62"/>
    <w:rsid w:val="00A92F40"/>
    <w:rsid w:val="00A93173"/>
    <w:rsid w:val="00A96697"/>
    <w:rsid w:val="00AA100C"/>
    <w:rsid w:val="00AA7CFF"/>
    <w:rsid w:val="00AB23D7"/>
    <w:rsid w:val="00AB3C91"/>
    <w:rsid w:val="00AC1918"/>
    <w:rsid w:val="00AC4503"/>
    <w:rsid w:val="00AD23DA"/>
    <w:rsid w:val="00B01AA7"/>
    <w:rsid w:val="00B05DD3"/>
    <w:rsid w:val="00B10D35"/>
    <w:rsid w:val="00B140AF"/>
    <w:rsid w:val="00B216A9"/>
    <w:rsid w:val="00B31BFF"/>
    <w:rsid w:val="00B42E2D"/>
    <w:rsid w:val="00B438E9"/>
    <w:rsid w:val="00B45440"/>
    <w:rsid w:val="00B45A8E"/>
    <w:rsid w:val="00B51F0D"/>
    <w:rsid w:val="00B56E58"/>
    <w:rsid w:val="00B73311"/>
    <w:rsid w:val="00B772DF"/>
    <w:rsid w:val="00B777B2"/>
    <w:rsid w:val="00B821A6"/>
    <w:rsid w:val="00B85310"/>
    <w:rsid w:val="00B97F61"/>
    <w:rsid w:val="00BA1029"/>
    <w:rsid w:val="00BA38A7"/>
    <w:rsid w:val="00BA3E23"/>
    <w:rsid w:val="00BB6E7E"/>
    <w:rsid w:val="00BB75B4"/>
    <w:rsid w:val="00BB78E1"/>
    <w:rsid w:val="00BC1C19"/>
    <w:rsid w:val="00BC6422"/>
    <w:rsid w:val="00BC7EB9"/>
    <w:rsid w:val="00BD2223"/>
    <w:rsid w:val="00BE05AC"/>
    <w:rsid w:val="00BE1190"/>
    <w:rsid w:val="00BE2638"/>
    <w:rsid w:val="00BE4283"/>
    <w:rsid w:val="00BE6C1A"/>
    <w:rsid w:val="00BE6F67"/>
    <w:rsid w:val="00BF4768"/>
    <w:rsid w:val="00BF6B28"/>
    <w:rsid w:val="00C043F9"/>
    <w:rsid w:val="00C07C1D"/>
    <w:rsid w:val="00C23DD1"/>
    <w:rsid w:val="00C327AF"/>
    <w:rsid w:val="00C34FA3"/>
    <w:rsid w:val="00C3580C"/>
    <w:rsid w:val="00C36759"/>
    <w:rsid w:val="00C44D5F"/>
    <w:rsid w:val="00C50A22"/>
    <w:rsid w:val="00C55DFF"/>
    <w:rsid w:val="00C61483"/>
    <w:rsid w:val="00C907F5"/>
    <w:rsid w:val="00C90830"/>
    <w:rsid w:val="00C917BA"/>
    <w:rsid w:val="00C95B9C"/>
    <w:rsid w:val="00CA37E4"/>
    <w:rsid w:val="00CA464D"/>
    <w:rsid w:val="00CA6855"/>
    <w:rsid w:val="00CB0F33"/>
    <w:rsid w:val="00CC15A8"/>
    <w:rsid w:val="00CC18E7"/>
    <w:rsid w:val="00CC2029"/>
    <w:rsid w:val="00CC6025"/>
    <w:rsid w:val="00CD5035"/>
    <w:rsid w:val="00CF05AA"/>
    <w:rsid w:val="00CF2F43"/>
    <w:rsid w:val="00CF66DD"/>
    <w:rsid w:val="00D01317"/>
    <w:rsid w:val="00D01A55"/>
    <w:rsid w:val="00D10C69"/>
    <w:rsid w:val="00D10E1F"/>
    <w:rsid w:val="00D11E5E"/>
    <w:rsid w:val="00D14B11"/>
    <w:rsid w:val="00D20DA5"/>
    <w:rsid w:val="00D61CBC"/>
    <w:rsid w:val="00D736AC"/>
    <w:rsid w:val="00D931E7"/>
    <w:rsid w:val="00D97301"/>
    <w:rsid w:val="00DA2FDD"/>
    <w:rsid w:val="00DA5D66"/>
    <w:rsid w:val="00DA6639"/>
    <w:rsid w:val="00DA6DFD"/>
    <w:rsid w:val="00DB4A7B"/>
    <w:rsid w:val="00DB4E80"/>
    <w:rsid w:val="00DC123C"/>
    <w:rsid w:val="00DC41ED"/>
    <w:rsid w:val="00DC5CE7"/>
    <w:rsid w:val="00DD2613"/>
    <w:rsid w:val="00DE15AD"/>
    <w:rsid w:val="00DF62DD"/>
    <w:rsid w:val="00E023AF"/>
    <w:rsid w:val="00E07C55"/>
    <w:rsid w:val="00E1327B"/>
    <w:rsid w:val="00E20613"/>
    <w:rsid w:val="00E22CC7"/>
    <w:rsid w:val="00E5790C"/>
    <w:rsid w:val="00E57C0A"/>
    <w:rsid w:val="00E617FD"/>
    <w:rsid w:val="00E71760"/>
    <w:rsid w:val="00E85903"/>
    <w:rsid w:val="00E91A80"/>
    <w:rsid w:val="00E91F6B"/>
    <w:rsid w:val="00E9574B"/>
    <w:rsid w:val="00EA115F"/>
    <w:rsid w:val="00EA3D8B"/>
    <w:rsid w:val="00EA41AC"/>
    <w:rsid w:val="00EA4F0B"/>
    <w:rsid w:val="00EA7A15"/>
    <w:rsid w:val="00EB0690"/>
    <w:rsid w:val="00EB1D03"/>
    <w:rsid w:val="00ED15E2"/>
    <w:rsid w:val="00EE5C59"/>
    <w:rsid w:val="00EF258B"/>
    <w:rsid w:val="00F02CB6"/>
    <w:rsid w:val="00F075D2"/>
    <w:rsid w:val="00F15D18"/>
    <w:rsid w:val="00F27AAF"/>
    <w:rsid w:val="00F27EA3"/>
    <w:rsid w:val="00F30E07"/>
    <w:rsid w:val="00F5118B"/>
    <w:rsid w:val="00F606FB"/>
    <w:rsid w:val="00F62C52"/>
    <w:rsid w:val="00F6379B"/>
    <w:rsid w:val="00F66527"/>
    <w:rsid w:val="00F676F6"/>
    <w:rsid w:val="00F72C50"/>
    <w:rsid w:val="00F93C0F"/>
    <w:rsid w:val="00FA0856"/>
    <w:rsid w:val="00FC164E"/>
    <w:rsid w:val="00FD07E7"/>
    <w:rsid w:val="00FD2F31"/>
    <w:rsid w:val="00FE78C8"/>
    <w:rsid w:val="00FF0707"/>
    <w:rsid w:val="2C30949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BF1B"/>
  <w15:docId w15:val="{46FE4499-91AD-4453-98F3-0D2A7A0C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A9"/>
    <w:rPr>
      <w:sz w:val="24"/>
      <w:lang w:val="en-CA"/>
    </w:rPr>
  </w:style>
  <w:style w:type="paragraph" w:styleId="Heading1">
    <w:name w:val="heading 1"/>
    <w:basedOn w:val="Normal"/>
    <w:next w:val="Normal"/>
    <w:uiPriority w:val="9"/>
    <w:qFormat/>
    <w:rsid w:val="005222AD"/>
    <w:pPr>
      <w:keepNext/>
      <w:keepLines/>
      <w:spacing w:before="320" w:after="240" w:line="259" w:lineRule="auto"/>
      <w:outlineLvl w:val="0"/>
    </w:pPr>
    <w:rPr>
      <w:rFonts w:eastAsia="Helvetica Neue"/>
      <w:b/>
      <w:color w:val="C00000"/>
      <w:sz w:val="32"/>
      <w:szCs w:val="32"/>
    </w:rPr>
  </w:style>
  <w:style w:type="paragraph" w:styleId="Heading2">
    <w:name w:val="heading 2"/>
    <w:basedOn w:val="Heading1"/>
    <w:next w:val="Normal"/>
    <w:uiPriority w:val="9"/>
    <w:unhideWhenUsed/>
    <w:qFormat/>
    <w:rsid w:val="00075AD9"/>
    <w:pPr>
      <w:spacing w:after="120"/>
      <w:outlineLvl w:val="1"/>
    </w:pPr>
    <w:rPr>
      <w:sz w:val="26"/>
      <w:szCs w:val="2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A81A62"/>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C043F9"/>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4E5BCA"/>
    <w:pPr>
      <w:tabs>
        <w:tab w:val="right" w:leader="dot" w:pos="9345"/>
      </w:tabs>
      <w:spacing w:after="100" w:line="259" w:lineRule="auto"/>
    </w:pPr>
    <w:rPr>
      <w:rFonts w:eastAsiaTheme="minorEastAsia" w:cs="Times New Roman"/>
      <w:b/>
      <w:bCs/>
      <w:noProof/>
      <w:lang w:val="en-US"/>
    </w:rPr>
  </w:style>
  <w:style w:type="paragraph" w:styleId="TOC3">
    <w:name w:val="toc 3"/>
    <w:basedOn w:val="Normal"/>
    <w:next w:val="Normal"/>
    <w:autoRedefine/>
    <w:uiPriority w:val="39"/>
    <w:unhideWhenUsed/>
    <w:rsid w:val="00A81A62"/>
    <w:pPr>
      <w:spacing w:after="100" w:line="259" w:lineRule="auto"/>
      <w:ind w:left="440"/>
    </w:pPr>
    <w:rPr>
      <w:rFonts w:asciiTheme="minorHAnsi" w:eastAsiaTheme="minorEastAsia" w:hAnsiTheme="minorHAnsi" w:cs="Times New Roman"/>
      <w:lang w:val="en-US"/>
    </w:rPr>
  </w:style>
  <w:style w:type="paragraph" w:styleId="Header">
    <w:name w:val="header"/>
    <w:basedOn w:val="Normal"/>
    <w:link w:val="HeaderChar"/>
    <w:uiPriority w:val="99"/>
    <w:unhideWhenUsed/>
    <w:rsid w:val="00F93C0F"/>
    <w:pPr>
      <w:tabs>
        <w:tab w:val="center" w:pos="4680"/>
        <w:tab w:val="right" w:pos="9360"/>
      </w:tabs>
      <w:spacing w:line="240" w:lineRule="auto"/>
    </w:pPr>
  </w:style>
  <w:style w:type="character" w:customStyle="1" w:styleId="HeaderChar">
    <w:name w:val="Header Char"/>
    <w:basedOn w:val="DefaultParagraphFont"/>
    <w:link w:val="Header"/>
    <w:uiPriority w:val="99"/>
    <w:rsid w:val="00F93C0F"/>
  </w:style>
  <w:style w:type="paragraph" w:styleId="Footer">
    <w:name w:val="footer"/>
    <w:basedOn w:val="Normal"/>
    <w:link w:val="FooterChar"/>
    <w:uiPriority w:val="99"/>
    <w:unhideWhenUsed/>
    <w:rsid w:val="00F93C0F"/>
    <w:pPr>
      <w:tabs>
        <w:tab w:val="center" w:pos="4680"/>
        <w:tab w:val="right" w:pos="9360"/>
      </w:tabs>
      <w:spacing w:line="240" w:lineRule="auto"/>
    </w:pPr>
  </w:style>
  <w:style w:type="character" w:customStyle="1" w:styleId="FooterChar">
    <w:name w:val="Footer Char"/>
    <w:basedOn w:val="DefaultParagraphFont"/>
    <w:link w:val="Footer"/>
    <w:uiPriority w:val="99"/>
    <w:rsid w:val="00F93C0F"/>
  </w:style>
  <w:style w:type="paragraph" w:styleId="ListParagraph">
    <w:name w:val="List Paragraph"/>
    <w:basedOn w:val="Normal"/>
    <w:uiPriority w:val="34"/>
    <w:qFormat/>
    <w:rsid w:val="00F15D18"/>
    <w:pPr>
      <w:ind w:left="720"/>
      <w:contextualSpacing/>
    </w:pPr>
  </w:style>
  <w:style w:type="paragraph" w:customStyle="1" w:styleId="paragraph">
    <w:name w:val="paragraph"/>
    <w:basedOn w:val="Normal"/>
    <w:rsid w:val="000551B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E617FD"/>
  </w:style>
  <w:style w:type="character" w:customStyle="1" w:styleId="eop">
    <w:name w:val="eop"/>
    <w:basedOn w:val="DefaultParagraphFont"/>
    <w:rsid w:val="00E617FD"/>
  </w:style>
  <w:style w:type="character" w:styleId="Hyperlink">
    <w:name w:val="Hyperlink"/>
    <w:basedOn w:val="DefaultParagraphFont"/>
    <w:uiPriority w:val="99"/>
    <w:unhideWhenUsed/>
    <w:rsid w:val="00DA6DFD"/>
    <w:rPr>
      <w:color w:val="0000FF" w:themeColor="hyperlink"/>
      <w:u w:val="single"/>
    </w:rPr>
  </w:style>
  <w:style w:type="character" w:styleId="UnresolvedMention">
    <w:name w:val="Unresolved Mention"/>
    <w:basedOn w:val="DefaultParagraphFont"/>
    <w:uiPriority w:val="99"/>
    <w:semiHidden/>
    <w:unhideWhenUsed/>
    <w:rsid w:val="00DA6DFD"/>
    <w:rPr>
      <w:color w:val="605E5C"/>
      <w:shd w:val="clear" w:color="auto" w:fill="E1DFDD"/>
    </w:rPr>
  </w:style>
  <w:style w:type="character" w:styleId="CommentReference">
    <w:name w:val="annotation reference"/>
    <w:basedOn w:val="DefaultParagraphFont"/>
    <w:uiPriority w:val="99"/>
    <w:semiHidden/>
    <w:unhideWhenUsed/>
    <w:rsid w:val="00DA6DFD"/>
    <w:rPr>
      <w:sz w:val="16"/>
      <w:szCs w:val="16"/>
    </w:rPr>
  </w:style>
  <w:style w:type="paragraph" w:styleId="CommentText">
    <w:name w:val="annotation text"/>
    <w:basedOn w:val="Normal"/>
    <w:link w:val="CommentTextChar"/>
    <w:uiPriority w:val="99"/>
    <w:unhideWhenUsed/>
    <w:rsid w:val="00DA6DFD"/>
    <w:pPr>
      <w:spacing w:line="240" w:lineRule="auto"/>
    </w:pPr>
    <w:rPr>
      <w:sz w:val="20"/>
      <w:szCs w:val="20"/>
    </w:rPr>
  </w:style>
  <w:style w:type="character" w:customStyle="1" w:styleId="CommentTextChar">
    <w:name w:val="Comment Text Char"/>
    <w:basedOn w:val="DefaultParagraphFont"/>
    <w:link w:val="CommentText"/>
    <w:uiPriority w:val="99"/>
    <w:rsid w:val="00DA6DFD"/>
    <w:rPr>
      <w:rFonts w:ascii="Helvetica Neue" w:hAnsi="Helvetica Neue"/>
      <w:sz w:val="20"/>
      <w:szCs w:val="20"/>
      <w:lang w:val="en-CA"/>
    </w:rPr>
  </w:style>
  <w:style w:type="paragraph" w:styleId="CommentSubject">
    <w:name w:val="annotation subject"/>
    <w:basedOn w:val="CommentText"/>
    <w:next w:val="CommentText"/>
    <w:link w:val="CommentSubjectChar"/>
    <w:uiPriority w:val="99"/>
    <w:semiHidden/>
    <w:unhideWhenUsed/>
    <w:rsid w:val="00DA6DFD"/>
    <w:rPr>
      <w:b/>
      <w:bCs/>
    </w:rPr>
  </w:style>
  <w:style w:type="character" w:customStyle="1" w:styleId="CommentSubjectChar">
    <w:name w:val="Comment Subject Char"/>
    <w:basedOn w:val="CommentTextChar"/>
    <w:link w:val="CommentSubject"/>
    <w:uiPriority w:val="99"/>
    <w:semiHidden/>
    <w:rsid w:val="00DA6DFD"/>
    <w:rPr>
      <w:rFonts w:ascii="Helvetica Neue" w:hAnsi="Helvetica Neue"/>
      <w:b/>
      <w:bCs/>
      <w:sz w:val="20"/>
      <w:szCs w:val="20"/>
      <w:lang w:val="en-CA"/>
    </w:rPr>
  </w:style>
  <w:style w:type="paragraph" w:styleId="Revision">
    <w:name w:val="Revision"/>
    <w:hidden/>
    <w:uiPriority w:val="99"/>
    <w:semiHidden/>
    <w:rsid w:val="003754CB"/>
    <w:pPr>
      <w:spacing w:line="240" w:lineRule="auto"/>
    </w:pPr>
    <w:rPr>
      <w:rFonts w:ascii="Helvetica Neue" w:hAnsi="Helvetica Neue"/>
      <w:lang w:val="en-CA"/>
    </w:rPr>
  </w:style>
  <w:style w:type="character" w:styleId="FollowedHyperlink">
    <w:name w:val="FollowedHyperlink"/>
    <w:basedOn w:val="DefaultParagraphFont"/>
    <w:uiPriority w:val="99"/>
    <w:semiHidden/>
    <w:unhideWhenUsed/>
    <w:rsid w:val="000B3578"/>
    <w:rPr>
      <w:color w:val="800080" w:themeColor="followedHyperlink"/>
      <w:u w:val="single"/>
    </w:rPr>
  </w:style>
  <w:style w:type="character" w:styleId="Mention">
    <w:name w:val="Mention"/>
    <w:basedOn w:val="DefaultParagraphFont"/>
    <w:uiPriority w:val="99"/>
    <w:unhideWhenUsed/>
    <w:rsid w:val="00DA5D66"/>
    <w:rPr>
      <w:color w:val="2B579A"/>
      <w:shd w:val="clear" w:color="auto" w:fill="E1DFDD"/>
    </w:rPr>
  </w:style>
  <w:style w:type="table" w:styleId="GridTable4-Accent6">
    <w:name w:val="Grid Table 4 Accent 6"/>
    <w:basedOn w:val="TableNormal"/>
    <w:uiPriority w:val="49"/>
    <w:rsid w:val="005B40DC"/>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basedOn w:val="TableNormal"/>
    <w:uiPriority w:val="39"/>
    <w:rsid w:val="004449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58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rca.ca/fr/can-collaborato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rca.ca/fr/events-page/list/?tribe_event_display=pa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3ac4d59-b78b-4c7c-a184-ee6bac8c0d62">
      <UserInfo>
        <DisplayName/>
        <AccountId xsi:nil="true"/>
        <AccountType/>
      </UserInfo>
    </SharedWithUsers>
    <MediaLengthInSeconds xmlns="a0470cb2-2546-4692-a8af-5f5007d101e3" xsi:nil="true"/>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22d6d6e1d4275ba523abe8cda9c27ae5">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09bdd06533bf35f0cebde96a88292ffc"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4E8DE-43A2-421D-A264-431B2B4058B3}">
  <ds:schemaRefs>
    <ds:schemaRef ds:uri="http://schemas.microsoft.com/sharepoint/v3/contenttype/forms"/>
  </ds:schemaRefs>
</ds:datastoreItem>
</file>

<file path=customXml/itemProps2.xml><?xml version="1.0" encoding="utf-8"?>
<ds:datastoreItem xmlns:ds="http://schemas.openxmlformats.org/officeDocument/2006/customXml" ds:itemID="{B5D9E8AA-3535-4E19-BBA1-3D7ECB9AA03C}">
  <ds:schemaRefs>
    <ds:schemaRef ds:uri="http://schemas.microsoft.com/office/2006/metadata/properties"/>
    <ds:schemaRef ds:uri="http://schemas.microsoft.com/office/infopath/2007/PartnerControls"/>
    <ds:schemaRef ds:uri="c3ac4d59-b78b-4c7c-a184-ee6bac8c0d62"/>
    <ds:schemaRef ds:uri="a0470cb2-2546-4692-a8af-5f5007d101e3"/>
  </ds:schemaRefs>
</ds:datastoreItem>
</file>

<file path=customXml/itemProps3.xml><?xml version="1.0" encoding="utf-8"?>
<ds:datastoreItem xmlns:ds="http://schemas.openxmlformats.org/officeDocument/2006/customXml" ds:itemID="{75692346-ACD6-48F3-B5B8-7936AF9E321C}">
  <ds:schemaRefs>
    <ds:schemaRef ds:uri="http://schemas.openxmlformats.org/officeDocument/2006/bibliography"/>
  </ds:schemaRefs>
</ds:datastoreItem>
</file>

<file path=customXml/itemProps4.xml><?xml version="1.0" encoding="utf-8"?>
<ds:datastoreItem xmlns:ds="http://schemas.openxmlformats.org/officeDocument/2006/customXml" ds:itemID="{8F8AA910-1472-4694-AFC0-EBA5E759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5911</Words>
  <Characters>33696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39528</CharactersWithSpaces>
  <SharedDoc>false</SharedDoc>
  <HLinks>
    <vt:vector size="240" baseType="variant">
      <vt:variant>
        <vt:i4>5832779</vt:i4>
      </vt:variant>
      <vt:variant>
        <vt:i4>228</vt:i4>
      </vt:variant>
      <vt:variant>
        <vt:i4>0</vt:i4>
      </vt:variant>
      <vt:variant>
        <vt:i4>5</vt:i4>
      </vt:variant>
      <vt:variant>
        <vt:lpwstr>https://www.can-rca.ca/can-collaborators/</vt:lpwstr>
      </vt:variant>
      <vt:variant>
        <vt:lpwstr/>
      </vt:variant>
      <vt:variant>
        <vt:i4>6357114</vt:i4>
      </vt:variant>
      <vt:variant>
        <vt:i4>225</vt:i4>
      </vt:variant>
      <vt:variant>
        <vt:i4>0</vt:i4>
      </vt:variant>
      <vt:variant>
        <vt:i4>5</vt:i4>
      </vt:variant>
      <vt:variant>
        <vt:lpwstr>https://www.can-rca.ca/events-page/list/?eventDisplay=past</vt:lpwstr>
      </vt:variant>
      <vt:variant>
        <vt:lpwstr/>
      </vt:variant>
      <vt:variant>
        <vt:i4>1179704</vt:i4>
      </vt:variant>
      <vt:variant>
        <vt:i4>218</vt:i4>
      </vt:variant>
      <vt:variant>
        <vt:i4>0</vt:i4>
      </vt:variant>
      <vt:variant>
        <vt:i4>5</vt:i4>
      </vt:variant>
      <vt:variant>
        <vt:lpwstr/>
      </vt:variant>
      <vt:variant>
        <vt:lpwstr>_Toc166763973</vt:lpwstr>
      </vt:variant>
      <vt:variant>
        <vt:i4>1179704</vt:i4>
      </vt:variant>
      <vt:variant>
        <vt:i4>212</vt:i4>
      </vt:variant>
      <vt:variant>
        <vt:i4>0</vt:i4>
      </vt:variant>
      <vt:variant>
        <vt:i4>5</vt:i4>
      </vt:variant>
      <vt:variant>
        <vt:lpwstr/>
      </vt:variant>
      <vt:variant>
        <vt:lpwstr>_Toc166763972</vt:lpwstr>
      </vt:variant>
      <vt:variant>
        <vt:i4>1179704</vt:i4>
      </vt:variant>
      <vt:variant>
        <vt:i4>206</vt:i4>
      </vt:variant>
      <vt:variant>
        <vt:i4>0</vt:i4>
      </vt:variant>
      <vt:variant>
        <vt:i4>5</vt:i4>
      </vt:variant>
      <vt:variant>
        <vt:lpwstr/>
      </vt:variant>
      <vt:variant>
        <vt:lpwstr>_Toc166763971</vt:lpwstr>
      </vt:variant>
      <vt:variant>
        <vt:i4>1179704</vt:i4>
      </vt:variant>
      <vt:variant>
        <vt:i4>200</vt:i4>
      </vt:variant>
      <vt:variant>
        <vt:i4>0</vt:i4>
      </vt:variant>
      <vt:variant>
        <vt:i4>5</vt:i4>
      </vt:variant>
      <vt:variant>
        <vt:lpwstr/>
      </vt:variant>
      <vt:variant>
        <vt:lpwstr>_Toc166763970</vt:lpwstr>
      </vt:variant>
      <vt:variant>
        <vt:i4>1245240</vt:i4>
      </vt:variant>
      <vt:variant>
        <vt:i4>194</vt:i4>
      </vt:variant>
      <vt:variant>
        <vt:i4>0</vt:i4>
      </vt:variant>
      <vt:variant>
        <vt:i4>5</vt:i4>
      </vt:variant>
      <vt:variant>
        <vt:lpwstr/>
      </vt:variant>
      <vt:variant>
        <vt:lpwstr>_Toc166763969</vt:lpwstr>
      </vt:variant>
      <vt:variant>
        <vt:i4>1245240</vt:i4>
      </vt:variant>
      <vt:variant>
        <vt:i4>188</vt:i4>
      </vt:variant>
      <vt:variant>
        <vt:i4>0</vt:i4>
      </vt:variant>
      <vt:variant>
        <vt:i4>5</vt:i4>
      </vt:variant>
      <vt:variant>
        <vt:lpwstr/>
      </vt:variant>
      <vt:variant>
        <vt:lpwstr>_Toc166763968</vt:lpwstr>
      </vt:variant>
      <vt:variant>
        <vt:i4>1245240</vt:i4>
      </vt:variant>
      <vt:variant>
        <vt:i4>182</vt:i4>
      </vt:variant>
      <vt:variant>
        <vt:i4>0</vt:i4>
      </vt:variant>
      <vt:variant>
        <vt:i4>5</vt:i4>
      </vt:variant>
      <vt:variant>
        <vt:lpwstr/>
      </vt:variant>
      <vt:variant>
        <vt:lpwstr>_Toc166763967</vt:lpwstr>
      </vt:variant>
      <vt:variant>
        <vt:i4>1245240</vt:i4>
      </vt:variant>
      <vt:variant>
        <vt:i4>176</vt:i4>
      </vt:variant>
      <vt:variant>
        <vt:i4>0</vt:i4>
      </vt:variant>
      <vt:variant>
        <vt:i4>5</vt:i4>
      </vt:variant>
      <vt:variant>
        <vt:lpwstr/>
      </vt:variant>
      <vt:variant>
        <vt:lpwstr>_Toc166763966</vt:lpwstr>
      </vt:variant>
      <vt:variant>
        <vt:i4>1245240</vt:i4>
      </vt:variant>
      <vt:variant>
        <vt:i4>170</vt:i4>
      </vt:variant>
      <vt:variant>
        <vt:i4>0</vt:i4>
      </vt:variant>
      <vt:variant>
        <vt:i4>5</vt:i4>
      </vt:variant>
      <vt:variant>
        <vt:lpwstr/>
      </vt:variant>
      <vt:variant>
        <vt:lpwstr>_Toc166763965</vt:lpwstr>
      </vt:variant>
      <vt:variant>
        <vt:i4>1245240</vt:i4>
      </vt:variant>
      <vt:variant>
        <vt:i4>164</vt:i4>
      </vt:variant>
      <vt:variant>
        <vt:i4>0</vt:i4>
      </vt:variant>
      <vt:variant>
        <vt:i4>5</vt:i4>
      </vt:variant>
      <vt:variant>
        <vt:lpwstr/>
      </vt:variant>
      <vt:variant>
        <vt:lpwstr>_Toc166763964</vt:lpwstr>
      </vt:variant>
      <vt:variant>
        <vt:i4>1245240</vt:i4>
      </vt:variant>
      <vt:variant>
        <vt:i4>158</vt:i4>
      </vt:variant>
      <vt:variant>
        <vt:i4>0</vt:i4>
      </vt:variant>
      <vt:variant>
        <vt:i4>5</vt:i4>
      </vt:variant>
      <vt:variant>
        <vt:lpwstr/>
      </vt:variant>
      <vt:variant>
        <vt:lpwstr>_Toc166763963</vt:lpwstr>
      </vt:variant>
      <vt:variant>
        <vt:i4>1245240</vt:i4>
      </vt:variant>
      <vt:variant>
        <vt:i4>152</vt:i4>
      </vt:variant>
      <vt:variant>
        <vt:i4>0</vt:i4>
      </vt:variant>
      <vt:variant>
        <vt:i4>5</vt:i4>
      </vt:variant>
      <vt:variant>
        <vt:lpwstr/>
      </vt:variant>
      <vt:variant>
        <vt:lpwstr>_Toc166763962</vt:lpwstr>
      </vt:variant>
      <vt:variant>
        <vt:i4>1245240</vt:i4>
      </vt:variant>
      <vt:variant>
        <vt:i4>146</vt:i4>
      </vt:variant>
      <vt:variant>
        <vt:i4>0</vt:i4>
      </vt:variant>
      <vt:variant>
        <vt:i4>5</vt:i4>
      </vt:variant>
      <vt:variant>
        <vt:lpwstr/>
      </vt:variant>
      <vt:variant>
        <vt:lpwstr>_Toc166763961</vt:lpwstr>
      </vt:variant>
      <vt:variant>
        <vt:i4>1245240</vt:i4>
      </vt:variant>
      <vt:variant>
        <vt:i4>140</vt:i4>
      </vt:variant>
      <vt:variant>
        <vt:i4>0</vt:i4>
      </vt:variant>
      <vt:variant>
        <vt:i4>5</vt:i4>
      </vt:variant>
      <vt:variant>
        <vt:lpwstr/>
      </vt:variant>
      <vt:variant>
        <vt:lpwstr>_Toc166763960</vt:lpwstr>
      </vt:variant>
      <vt:variant>
        <vt:i4>1048632</vt:i4>
      </vt:variant>
      <vt:variant>
        <vt:i4>134</vt:i4>
      </vt:variant>
      <vt:variant>
        <vt:i4>0</vt:i4>
      </vt:variant>
      <vt:variant>
        <vt:i4>5</vt:i4>
      </vt:variant>
      <vt:variant>
        <vt:lpwstr/>
      </vt:variant>
      <vt:variant>
        <vt:lpwstr>_Toc166763959</vt:lpwstr>
      </vt:variant>
      <vt:variant>
        <vt:i4>1048632</vt:i4>
      </vt:variant>
      <vt:variant>
        <vt:i4>128</vt:i4>
      </vt:variant>
      <vt:variant>
        <vt:i4>0</vt:i4>
      </vt:variant>
      <vt:variant>
        <vt:i4>5</vt:i4>
      </vt:variant>
      <vt:variant>
        <vt:lpwstr/>
      </vt:variant>
      <vt:variant>
        <vt:lpwstr>_Toc166763958</vt:lpwstr>
      </vt:variant>
      <vt:variant>
        <vt:i4>1048632</vt:i4>
      </vt:variant>
      <vt:variant>
        <vt:i4>122</vt:i4>
      </vt:variant>
      <vt:variant>
        <vt:i4>0</vt:i4>
      </vt:variant>
      <vt:variant>
        <vt:i4>5</vt:i4>
      </vt:variant>
      <vt:variant>
        <vt:lpwstr/>
      </vt:variant>
      <vt:variant>
        <vt:lpwstr>_Toc166763957</vt:lpwstr>
      </vt:variant>
      <vt:variant>
        <vt:i4>1048632</vt:i4>
      </vt:variant>
      <vt:variant>
        <vt:i4>116</vt:i4>
      </vt:variant>
      <vt:variant>
        <vt:i4>0</vt:i4>
      </vt:variant>
      <vt:variant>
        <vt:i4>5</vt:i4>
      </vt:variant>
      <vt:variant>
        <vt:lpwstr/>
      </vt:variant>
      <vt:variant>
        <vt:lpwstr>_Toc166763956</vt:lpwstr>
      </vt:variant>
      <vt:variant>
        <vt:i4>1048632</vt:i4>
      </vt:variant>
      <vt:variant>
        <vt:i4>110</vt:i4>
      </vt:variant>
      <vt:variant>
        <vt:i4>0</vt:i4>
      </vt:variant>
      <vt:variant>
        <vt:i4>5</vt:i4>
      </vt:variant>
      <vt:variant>
        <vt:lpwstr/>
      </vt:variant>
      <vt:variant>
        <vt:lpwstr>_Toc166763955</vt:lpwstr>
      </vt:variant>
      <vt:variant>
        <vt:i4>1048632</vt:i4>
      </vt:variant>
      <vt:variant>
        <vt:i4>104</vt:i4>
      </vt:variant>
      <vt:variant>
        <vt:i4>0</vt:i4>
      </vt:variant>
      <vt:variant>
        <vt:i4>5</vt:i4>
      </vt:variant>
      <vt:variant>
        <vt:lpwstr/>
      </vt:variant>
      <vt:variant>
        <vt:lpwstr>_Toc166763954</vt:lpwstr>
      </vt:variant>
      <vt:variant>
        <vt:i4>1048632</vt:i4>
      </vt:variant>
      <vt:variant>
        <vt:i4>98</vt:i4>
      </vt:variant>
      <vt:variant>
        <vt:i4>0</vt:i4>
      </vt:variant>
      <vt:variant>
        <vt:i4>5</vt:i4>
      </vt:variant>
      <vt:variant>
        <vt:lpwstr/>
      </vt:variant>
      <vt:variant>
        <vt:lpwstr>_Toc166763953</vt:lpwstr>
      </vt:variant>
      <vt:variant>
        <vt:i4>1048632</vt:i4>
      </vt:variant>
      <vt:variant>
        <vt:i4>92</vt:i4>
      </vt:variant>
      <vt:variant>
        <vt:i4>0</vt:i4>
      </vt:variant>
      <vt:variant>
        <vt:i4>5</vt:i4>
      </vt:variant>
      <vt:variant>
        <vt:lpwstr/>
      </vt:variant>
      <vt:variant>
        <vt:lpwstr>_Toc166763952</vt:lpwstr>
      </vt:variant>
      <vt:variant>
        <vt:i4>1048632</vt:i4>
      </vt:variant>
      <vt:variant>
        <vt:i4>86</vt:i4>
      </vt:variant>
      <vt:variant>
        <vt:i4>0</vt:i4>
      </vt:variant>
      <vt:variant>
        <vt:i4>5</vt:i4>
      </vt:variant>
      <vt:variant>
        <vt:lpwstr/>
      </vt:variant>
      <vt:variant>
        <vt:lpwstr>_Toc166763951</vt:lpwstr>
      </vt:variant>
      <vt:variant>
        <vt:i4>1048632</vt:i4>
      </vt:variant>
      <vt:variant>
        <vt:i4>80</vt:i4>
      </vt:variant>
      <vt:variant>
        <vt:i4>0</vt:i4>
      </vt:variant>
      <vt:variant>
        <vt:i4>5</vt:i4>
      </vt:variant>
      <vt:variant>
        <vt:lpwstr/>
      </vt:variant>
      <vt:variant>
        <vt:lpwstr>_Toc166763950</vt:lpwstr>
      </vt:variant>
      <vt:variant>
        <vt:i4>1114168</vt:i4>
      </vt:variant>
      <vt:variant>
        <vt:i4>74</vt:i4>
      </vt:variant>
      <vt:variant>
        <vt:i4>0</vt:i4>
      </vt:variant>
      <vt:variant>
        <vt:i4>5</vt:i4>
      </vt:variant>
      <vt:variant>
        <vt:lpwstr/>
      </vt:variant>
      <vt:variant>
        <vt:lpwstr>_Toc166763949</vt:lpwstr>
      </vt:variant>
      <vt:variant>
        <vt:i4>1114168</vt:i4>
      </vt:variant>
      <vt:variant>
        <vt:i4>68</vt:i4>
      </vt:variant>
      <vt:variant>
        <vt:i4>0</vt:i4>
      </vt:variant>
      <vt:variant>
        <vt:i4>5</vt:i4>
      </vt:variant>
      <vt:variant>
        <vt:lpwstr/>
      </vt:variant>
      <vt:variant>
        <vt:lpwstr>_Toc166763948</vt:lpwstr>
      </vt:variant>
      <vt:variant>
        <vt:i4>1114168</vt:i4>
      </vt:variant>
      <vt:variant>
        <vt:i4>62</vt:i4>
      </vt:variant>
      <vt:variant>
        <vt:i4>0</vt:i4>
      </vt:variant>
      <vt:variant>
        <vt:i4>5</vt:i4>
      </vt:variant>
      <vt:variant>
        <vt:lpwstr/>
      </vt:variant>
      <vt:variant>
        <vt:lpwstr>_Toc166763947</vt:lpwstr>
      </vt:variant>
      <vt:variant>
        <vt:i4>1114168</vt:i4>
      </vt:variant>
      <vt:variant>
        <vt:i4>56</vt:i4>
      </vt:variant>
      <vt:variant>
        <vt:i4>0</vt:i4>
      </vt:variant>
      <vt:variant>
        <vt:i4>5</vt:i4>
      </vt:variant>
      <vt:variant>
        <vt:lpwstr/>
      </vt:variant>
      <vt:variant>
        <vt:lpwstr>_Toc166763946</vt:lpwstr>
      </vt:variant>
      <vt:variant>
        <vt:i4>1114168</vt:i4>
      </vt:variant>
      <vt:variant>
        <vt:i4>50</vt:i4>
      </vt:variant>
      <vt:variant>
        <vt:i4>0</vt:i4>
      </vt:variant>
      <vt:variant>
        <vt:i4>5</vt:i4>
      </vt:variant>
      <vt:variant>
        <vt:lpwstr/>
      </vt:variant>
      <vt:variant>
        <vt:lpwstr>_Toc166763945</vt:lpwstr>
      </vt:variant>
      <vt:variant>
        <vt:i4>1114168</vt:i4>
      </vt:variant>
      <vt:variant>
        <vt:i4>44</vt:i4>
      </vt:variant>
      <vt:variant>
        <vt:i4>0</vt:i4>
      </vt:variant>
      <vt:variant>
        <vt:i4>5</vt:i4>
      </vt:variant>
      <vt:variant>
        <vt:lpwstr/>
      </vt:variant>
      <vt:variant>
        <vt:lpwstr>_Toc166763944</vt:lpwstr>
      </vt:variant>
      <vt:variant>
        <vt:i4>1114168</vt:i4>
      </vt:variant>
      <vt:variant>
        <vt:i4>38</vt:i4>
      </vt:variant>
      <vt:variant>
        <vt:i4>0</vt:i4>
      </vt:variant>
      <vt:variant>
        <vt:i4>5</vt:i4>
      </vt:variant>
      <vt:variant>
        <vt:lpwstr/>
      </vt:variant>
      <vt:variant>
        <vt:lpwstr>_Toc166763943</vt:lpwstr>
      </vt:variant>
      <vt:variant>
        <vt:i4>1114168</vt:i4>
      </vt:variant>
      <vt:variant>
        <vt:i4>32</vt:i4>
      </vt:variant>
      <vt:variant>
        <vt:i4>0</vt:i4>
      </vt:variant>
      <vt:variant>
        <vt:i4>5</vt:i4>
      </vt:variant>
      <vt:variant>
        <vt:lpwstr/>
      </vt:variant>
      <vt:variant>
        <vt:lpwstr>_Toc166763942</vt:lpwstr>
      </vt:variant>
      <vt:variant>
        <vt:i4>1114168</vt:i4>
      </vt:variant>
      <vt:variant>
        <vt:i4>26</vt:i4>
      </vt:variant>
      <vt:variant>
        <vt:i4>0</vt:i4>
      </vt:variant>
      <vt:variant>
        <vt:i4>5</vt:i4>
      </vt:variant>
      <vt:variant>
        <vt:lpwstr/>
      </vt:variant>
      <vt:variant>
        <vt:lpwstr>_Toc166763941</vt:lpwstr>
      </vt:variant>
      <vt:variant>
        <vt:i4>1114168</vt:i4>
      </vt:variant>
      <vt:variant>
        <vt:i4>20</vt:i4>
      </vt:variant>
      <vt:variant>
        <vt:i4>0</vt:i4>
      </vt:variant>
      <vt:variant>
        <vt:i4>5</vt:i4>
      </vt:variant>
      <vt:variant>
        <vt:lpwstr/>
      </vt:variant>
      <vt:variant>
        <vt:lpwstr>_Toc166763940</vt:lpwstr>
      </vt:variant>
      <vt:variant>
        <vt:i4>1441848</vt:i4>
      </vt:variant>
      <vt:variant>
        <vt:i4>14</vt:i4>
      </vt:variant>
      <vt:variant>
        <vt:i4>0</vt:i4>
      </vt:variant>
      <vt:variant>
        <vt:i4>5</vt:i4>
      </vt:variant>
      <vt:variant>
        <vt:lpwstr/>
      </vt:variant>
      <vt:variant>
        <vt:lpwstr>_Toc166763939</vt:lpwstr>
      </vt:variant>
      <vt:variant>
        <vt:i4>1441848</vt:i4>
      </vt:variant>
      <vt:variant>
        <vt:i4>8</vt:i4>
      </vt:variant>
      <vt:variant>
        <vt:i4>0</vt:i4>
      </vt:variant>
      <vt:variant>
        <vt:i4>5</vt:i4>
      </vt:variant>
      <vt:variant>
        <vt:lpwstr/>
      </vt:variant>
      <vt:variant>
        <vt:lpwstr>_Toc166763938</vt:lpwstr>
      </vt:variant>
      <vt:variant>
        <vt:i4>1441848</vt:i4>
      </vt:variant>
      <vt:variant>
        <vt:i4>2</vt:i4>
      </vt:variant>
      <vt:variant>
        <vt:i4>0</vt:i4>
      </vt:variant>
      <vt:variant>
        <vt:i4>5</vt:i4>
      </vt:variant>
      <vt:variant>
        <vt:lpwstr/>
      </vt:variant>
      <vt:variant>
        <vt:lpwstr>_Toc166763937</vt:lpwstr>
      </vt:variant>
      <vt:variant>
        <vt:i4>2097224</vt:i4>
      </vt:variant>
      <vt:variant>
        <vt:i4>0</vt:i4>
      </vt:variant>
      <vt:variant>
        <vt:i4>0</vt:i4>
      </vt:variant>
      <vt:variant>
        <vt:i4>5</vt:i4>
      </vt:variant>
      <vt:variant>
        <vt:lpwstr>mailto:JulieCaldwell@Cunet.Carleton.Ca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Annual Report 2023-2024 - FRE</dc:title>
  <dc:subject/>
  <dc:creator>Canadian Accessibility Network</dc:creator>
  <cp:keywords/>
  <cp:lastModifiedBy>Ariel Birkinshaw</cp:lastModifiedBy>
  <cp:revision>4</cp:revision>
  <cp:lastPrinted>2024-08-12T19:05:00Z</cp:lastPrinted>
  <dcterms:created xsi:type="dcterms:W3CDTF">2024-08-12T18:43:00Z</dcterms:created>
  <dcterms:modified xsi:type="dcterms:W3CDTF">2024-08-12T19:05:00Z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y fmtid="{D5CDD505-2E9C-101B-9397-08002B2CF9AE}" pid="4" name="Order">
    <vt:r8>745800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